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BD27"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40"/>
        </w:rPr>
      </w:pPr>
      <w:r w:rsidRPr="00F87C0C">
        <w:rPr>
          <w:rFonts w:ascii="Times New Roman" w:hAnsi="Times New Roman"/>
          <w:b/>
          <w:smallCaps/>
          <w:sz w:val="40"/>
        </w:rPr>
        <w:t>Illinois State</w:t>
      </w:r>
    </w:p>
    <w:p w14:paraId="12515EAE"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32"/>
        </w:rPr>
      </w:pPr>
      <w:r w:rsidRPr="00F87C0C">
        <w:rPr>
          <w:rFonts w:ascii="Times New Roman" w:hAnsi="Times New Roman"/>
          <w:b/>
          <w:smallCaps/>
          <w:sz w:val="32"/>
        </w:rPr>
        <w:t>University</w:t>
      </w:r>
    </w:p>
    <w:p w14:paraId="56AA070F"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53DDC016"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7D1EEC92"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2666A26A"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4A717C45"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rPr>
          <w:rFonts w:ascii="Times New Roman" w:hAnsi="Times New Roman"/>
          <w:smallCaps/>
        </w:rPr>
      </w:pPr>
      <w:r w:rsidRPr="00F87C0C">
        <w:rPr>
          <w:rFonts w:ascii="Times New Roman" w:hAnsi="Times New Roman"/>
          <w:smallCaps/>
        </w:rPr>
        <w:t xml:space="preserve">                                  </w:t>
      </w:r>
    </w:p>
    <w:p w14:paraId="7EB95301" w14:textId="77777777" w:rsidR="006D7851" w:rsidRPr="00F87C0C" w:rsidRDefault="006D7851" w:rsidP="00760E11">
      <w:pPr>
        <w:pStyle w:val="Caption"/>
        <w:framePr w:w="2947" w:h="3605" w:wrap="auto" w:x="8341" w:y="-175"/>
        <w:shd w:val="clear" w:color="auto" w:fill="0C0C0C"/>
        <w:rPr>
          <w:rFonts w:ascii="Times New Roman" w:hAnsi="Times New Roman"/>
        </w:rPr>
      </w:pPr>
      <w:r w:rsidRPr="00F87C0C">
        <w:rPr>
          <w:rFonts w:ascii="Times New Roman" w:hAnsi="Times New Roman"/>
        </w:rPr>
        <w:t>Board of</w:t>
      </w:r>
    </w:p>
    <w:p w14:paraId="26B25BCE"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56"/>
        </w:rPr>
      </w:pPr>
      <w:r w:rsidRPr="00F87C0C">
        <w:rPr>
          <w:rFonts w:ascii="Times New Roman" w:hAnsi="Times New Roman"/>
          <w:b/>
          <w:smallCaps/>
          <w:sz w:val="56"/>
        </w:rPr>
        <w:t>Trustees</w:t>
      </w:r>
    </w:p>
    <w:p w14:paraId="2378ACDA"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678BF7D1"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7FAEF7D8"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pPr>
    </w:p>
    <w:p w14:paraId="76672163"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6D78BFFC"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4C6A0B7A"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pPr>
    </w:p>
    <w:p w14:paraId="1B471493" w14:textId="77777777" w:rsidR="006D7851" w:rsidRDefault="006D7851" w:rsidP="006D7851">
      <w:pPr>
        <w:ind w:right="450"/>
        <w:jc w:val="both"/>
      </w:pPr>
    </w:p>
    <w:p w14:paraId="10ED094C" w14:textId="77777777" w:rsidR="00760E11" w:rsidRPr="00E6258B" w:rsidRDefault="00760E11" w:rsidP="006D7851">
      <w:pPr>
        <w:ind w:right="450"/>
        <w:jc w:val="both"/>
      </w:pPr>
    </w:p>
    <w:p w14:paraId="708A5D6E" w14:textId="77777777" w:rsidR="006D7851" w:rsidRDefault="006D7851" w:rsidP="006D7851">
      <w:pPr>
        <w:tabs>
          <w:tab w:val="center" w:pos="8640"/>
        </w:tabs>
        <w:ind w:right="-720"/>
        <w:jc w:val="both"/>
        <w:rPr>
          <w:b/>
          <w:bCs/>
        </w:rPr>
      </w:pPr>
      <w:r>
        <w:tab/>
      </w:r>
    </w:p>
    <w:p w14:paraId="072F4757" w14:textId="77777777" w:rsidR="006D7851" w:rsidRDefault="006D7851" w:rsidP="006D7851">
      <w:pPr>
        <w:tabs>
          <w:tab w:val="center" w:pos="8640"/>
        </w:tabs>
        <w:ind w:right="-720"/>
        <w:jc w:val="both"/>
        <w:rPr>
          <w:b/>
          <w:bCs/>
        </w:rPr>
      </w:pPr>
    </w:p>
    <w:p w14:paraId="3BD08A2E" w14:textId="77777777" w:rsidR="006D7851" w:rsidRDefault="006D7851" w:rsidP="006D7851">
      <w:pPr>
        <w:tabs>
          <w:tab w:val="center" w:pos="8640"/>
        </w:tabs>
        <w:ind w:right="-720"/>
        <w:jc w:val="both"/>
        <w:rPr>
          <w:b/>
          <w:bCs/>
        </w:rPr>
      </w:pPr>
    </w:p>
    <w:p w14:paraId="4A51DBAE" w14:textId="77777777" w:rsidR="006D7851" w:rsidRDefault="006D7851" w:rsidP="006D7851">
      <w:pPr>
        <w:tabs>
          <w:tab w:val="center" w:pos="8640"/>
        </w:tabs>
        <w:ind w:right="-720"/>
        <w:jc w:val="both"/>
        <w:rPr>
          <w:b/>
          <w:bCs/>
        </w:rPr>
      </w:pPr>
    </w:p>
    <w:p w14:paraId="41657B4D" w14:textId="77777777" w:rsidR="006D7851" w:rsidRDefault="006D7851" w:rsidP="006D7851">
      <w:pPr>
        <w:tabs>
          <w:tab w:val="center" w:pos="8640"/>
        </w:tabs>
        <w:ind w:right="-720"/>
        <w:jc w:val="both"/>
        <w:rPr>
          <w:b/>
          <w:bCs/>
        </w:rPr>
      </w:pPr>
    </w:p>
    <w:p w14:paraId="6D3811AF" w14:textId="77777777" w:rsidR="006D7851" w:rsidRDefault="006D7851" w:rsidP="006D7851">
      <w:pPr>
        <w:tabs>
          <w:tab w:val="center" w:pos="8640"/>
        </w:tabs>
        <w:ind w:right="-720"/>
        <w:jc w:val="both"/>
        <w:rPr>
          <w:b/>
          <w:bCs/>
        </w:rPr>
      </w:pPr>
    </w:p>
    <w:p w14:paraId="1B0B692D" w14:textId="77777777" w:rsidR="006D7851" w:rsidRDefault="006D7851" w:rsidP="006D7851">
      <w:pPr>
        <w:tabs>
          <w:tab w:val="center" w:pos="8640"/>
        </w:tabs>
        <w:ind w:right="-720"/>
        <w:jc w:val="both"/>
        <w:rPr>
          <w:b/>
          <w:bCs/>
        </w:rPr>
      </w:pPr>
    </w:p>
    <w:p w14:paraId="1FCEADE7" w14:textId="77777777" w:rsidR="006D7851" w:rsidRDefault="006D7851" w:rsidP="006D7851">
      <w:pPr>
        <w:tabs>
          <w:tab w:val="center" w:pos="8640"/>
        </w:tabs>
        <w:ind w:right="-720"/>
        <w:jc w:val="both"/>
        <w:rPr>
          <w:b/>
          <w:bCs/>
        </w:rPr>
      </w:pPr>
    </w:p>
    <w:p w14:paraId="56F2467E" w14:textId="77777777" w:rsidR="006D7851" w:rsidRDefault="006D7851" w:rsidP="006D7851">
      <w:pPr>
        <w:tabs>
          <w:tab w:val="center" w:pos="8640"/>
        </w:tabs>
        <w:ind w:right="-720"/>
        <w:jc w:val="both"/>
        <w:rPr>
          <w:b/>
          <w:bCs/>
        </w:rPr>
      </w:pPr>
    </w:p>
    <w:p w14:paraId="278725DE" w14:textId="77777777" w:rsidR="006D7851" w:rsidRDefault="006D7851" w:rsidP="006D7851">
      <w:pPr>
        <w:tabs>
          <w:tab w:val="center" w:pos="8640"/>
        </w:tabs>
        <w:ind w:right="-720"/>
        <w:jc w:val="both"/>
        <w:rPr>
          <w:b/>
          <w:bCs/>
        </w:rPr>
      </w:pPr>
    </w:p>
    <w:p w14:paraId="06C4842D" w14:textId="77777777" w:rsidR="006D7851" w:rsidRDefault="006D7851" w:rsidP="006D7851">
      <w:pPr>
        <w:tabs>
          <w:tab w:val="center" w:pos="8640"/>
        </w:tabs>
        <w:ind w:right="-720"/>
        <w:jc w:val="both"/>
        <w:rPr>
          <w:b/>
          <w:bCs/>
        </w:rPr>
      </w:pPr>
    </w:p>
    <w:p w14:paraId="3C0F739C" w14:textId="77777777" w:rsidR="006D7851" w:rsidRDefault="006D7851" w:rsidP="006D7851">
      <w:pPr>
        <w:tabs>
          <w:tab w:val="center" w:pos="8640"/>
        </w:tabs>
        <w:ind w:right="-720"/>
        <w:jc w:val="both"/>
        <w:rPr>
          <w:b/>
          <w:bCs/>
        </w:rPr>
      </w:pPr>
    </w:p>
    <w:p w14:paraId="37D30987" w14:textId="77777777" w:rsidR="006D7851" w:rsidRDefault="006D7851" w:rsidP="006D7851">
      <w:pPr>
        <w:tabs>
          <w:tab w:val="center" w:pos="8640"/>
        </w:tabs>
        <w:ind w:right="-720"/>
        <w:jc w:val="both"/>
        <w:rPr>
          <w:b/>
          <w:bCs/>
        </w:rPr>
      </w:pPr>
    </w:p>
    <w:p w14:paraId="3621626D" w14:textId="77777777" w:rsidR="006D7851" w:rsidRDefault="006D7851" w:rsidP="006D7851">
      <w:pPr>
        <w:tabs>
          <w:tab w:val="center" w:pos="8640"/>
        </w:tabs>
        <w:ind w:right="-720"/>
        <w:jc w:val="both"/>
        <w:rPr>
          <w:b/>
          <w:bCs/>
        </w:rPr>
      </w:pPr>
    </w:p>
    <w:p w14:paraId="39C9B608" w14:textId="77777777" w:rsidR="006D7851" w:rsidRDefault="006D7851" w:rsidP="006D7851">
      <w:pPr>
        <w:tabs>
          <w:tab w:val="center" w:pos="8640"/>
        </w:tabs>
        <w:ind w:right="-720"/>
        <w:jc w:val="both"/>
        <w:rPr>
          <w:b/>
          <w:bCs/>
        </w:rPr>
      </w:pPr>
    </w:p>
    <w:p w14:paraId="0A5920DC" w14:textId="77777777" w:rsidR="00760E11" w:rsidRDefault="006D7851" w:rsidP="006D7851">
      <w:pPr>
        <w:tabs>
          <w:tab w:val="left" w:pos="7980"/>
        </w:tabs>
        <w:ind w:right="-720"/>
        <w:jc w:val="right"/>
        <w:rPr>
          <w:b/>
          <w:bCs/>
        </w:rPr>
      </w:pPr>
      <w:r>
        <w:rPr>
          <w:b/>
          <w:bCs/>
        </w:rPr>
        <w:t xml:space="preserve">                                                                                                 </w:t>
      </w:r>
    </w:p>
    <w:p w14:paraId="184E4422" w14:textId="77777777" w:rsidR="00760E11" w:rsidRDefault="00760E11" w:rsidP="006D7851">
      <w:pPr>
        <w:tabs>
          <w:tab w:val="left" w:pos="7980"/>
        </w:tabs>
        <w:ind w:right="-720"/>
        <w:jc w:val="right"/>
        <w:rPr>
          <w:b/>
          <w:bCs/>
        </w:rPr>
      </w:pPr>
    </w:p>
    <w:tbl>
      <w:tblPr>
        <w:tblStyle w:val="TableGrid"/>
        <w:tblW w:w="0" w:type="auto"/>
        <w:jc w:val="right"/>
        <w:tblInd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2"/>
      </w:tblGrid>
      <w:tr w:rsidR="00600BE5" w:rsidRPr="00600BE5" w14:paraId="2F63EE91" w14:textId="77777777">
        <w:trPr>
          <w:jc w:val="right"/>
        </w:trPr>
        <w:tc>
          <w:tcPr>
            <w:tcW w:w="3262" w:type="dxa"/>
            <w:vAlign w:val="bottom"/>
          </w:tcPr>
          <w:p w14:paraId="0D988646" w14:textId="3E57324F" w:rsidR="00600BE5" w:rsidRPr="00F157AA" w:rsidRDefault="003D27C4" w:rsidP="00AF3284">
            <w:pPr>
              <w:tabs>
                <w:tab w:val="left" w:pos="7980"/>
              </w:tabs>
              <w:jc w:val="center"/>
              <w:rPr>
                <w:rFonts w:ascii="Times New Roman" w:hAnsi="Times New Roman"/>
                <w:b/>
                <w:bCs/>
                <w:sz w:val="20"/>
                <w:u w:val="single"/>
              </w:rPr>
            </w:pPr>
            <w:r w:rsidRPr="00296A03">
              <w:rPr>
                <w:rFonts w:ascii="Times New Roman" w:hAnsi="Times New Roman"/>
                <w:b/>
                <w:bCs/>
                <w:sz w:val="20"/>
                <w:u w:val="single"/>
              </w:rPr>
              <w:t>R</w:t>
            </w:r>
            <w:r w:rsidR="006B780F" w:rsidRPr="00296A03">
              <w:rPr>
                <w:rFonts w:ascii="Times New Roman" w:hAnsi="Times New Roman"/>
                <w:b/>
                <w:bCs/>
                <w:sz w:val="20"/>
                <w:u w:val="single"/>
              </w:rPr>
              <w:t>esolution No. 20</w:t>
            </w:r>
            <w:r w:rsidR="00296A03" w:rsidRPr="00296A03">
              <w:rPr>
                <w:rFonts w:ascii="Times New Roman" w:hAnsi="Times New Roman"/>
                <w:b/>
                <w:bCs/>
                <w:sz w:val="20"/>
                <w:u w:val="single"/>
              </w:rPr>
              <w:t>1</w:t>
            </w:r>
            <w:r w:rsidR="00252F3A">
              <w:rPr>
                <w:rFonts w:ascii="Times New Roman" w:hAnsi="Times New Roman"/>
                <w:b/>
                <w:bCs/>
                <w:sz w:val="20"/>
                <w:u w:val="single"/>
              </w:rPr>
              <w:t>4</w:t>
            </w:r>
            <w:r w:rsidR="00F23FB6" w:rsidRPr="00296A03">
              <w:rPr>
                <w:rFonts w:ascii="Times New Roman" w:hAnsi="Times New Roman"/>
                <w:b/>
                <w:bCs/>
                <w:sz w:val="20"/>
                <w:u w:val="single"/>
              </w:rPr>
              <w:t>.10/</w:t>
            </w:r>
            <w:r w:rsidR="00CE5049">
              <w:rPr>
                <w:rFonts w:ascii="Times New Roman" w:hAnsi="Times New Roman"/>
                <w:b/>
                <w:bCs/>
                <w:sz w:val="20"/>
                <w:u w:val="single"/>
              </w:rPr>
              <w:t>27</w:t>
            </w:r>
          </w:p>
        </w:tc>
      </w:tr>
      <w:tr w:rsidR="00600BE5" w:rsidRPr="00600BE5" w14:paraId="25644C2E" w14:textId="77777777">
        <w:trPr>
          <w:jc w:val="right"/>
        </w:trPr>
        <w:tc>
          <w:tcPr>
            <w:tcW w:w="3262" w:type="dxa"/>
            <w:vAlign w:val="bottom"/>
          </w:tcPr>
          <w:p w14:paraId="27C400ED" w14:textId="6735D50C" w:rsidR="00600BE5" w:rsidRPr="00F157AA" w:rsidRDefault="008F31EA" w:rsidP="00AF3284">
            <w:pPr>
              <w:tabs>
                <w:tab w:val="center" w:pos="8550"/>
              </w:tabs>
              <w:jc w:val="center"/>
              <w:rPr>
                <w:rFonts w:ascii="Times New Roman" w:hAnsi="Times New Roman"/>
                <w:b/>
                <w:sz w:val="20"/>
                <w:u w:val="single"/>
              </w:rPr>
            </w:pPr>
            <w:r w:rsidRPr="00F157AA">
              <w:rPr>
                <w:rFonts w:ascii="Times New Roman" w:hAnsi="Times New Roman"/>
                <w:b/>
                <w:sz w:val="20"/>
                <w:u w:val="single"/>
              </w:rPr>
              <w:t>FY20</w:t>
            </w:r>
            <w:r w:rsidR="00AA46B8">
              <w:rPr>
                <w:rFonts w:ascii="Times New Roman" w:hAnsi="Times New Roman"/>
                <w:b/>
                <w:sz w:val="20"/>
                <w:u w:val="single"/>
              </w:rPr>
              <w:t>1</w:t>
            </w:r>
            <w:r w:rsidR="00252F3A">
              <w:rPr>
                <w:rFonts w:ascii="Times New Roman" w:hAnsi="Times New Roman"/>
                <w:b/>
                <w:sz w:val="20"/>
                <w:u w:val="single"/>
              </w:rPr>
              <w:t>6</w:t>
            </w:r>
            <w:r w:rsidR="00600BE5" w:rsidRPr="00F157AA">
              <w:rPr>
                <w:rFonts w:ascii="Times New Roman" w:hAnsi="Times New Roman"/>
                <w:b/>
                <w:sz w:val="20"/>
                <w:u w:val="single"/>
              </w:rPr>
              <w:t xml:space="preserve"> Appropriated</w:t>
            </w:r>
          </w:p>
        </w:tc>
      </w:tr>
      <w:tr w:rsidR="00600BE5" w:rsidRPr="00600BE5" w14:paraId="79DC7639" w14:textId="77777777">
        <w:trPr>
          <w:jc w:val="right"/>
        </w:trPr>
        <w:tc>
          <w:tcPr>
            <w:tcW w:w="3262" w:type="dxa"/>
            <w:vAlign w:val="bottom"/>
          </w:tcPr>
          <w:p w14:paraId="13CB5083" w14:textId="77777777" w:rsidR="00600BE5" w:rsidRPr="00F157AA" w:rsidRDefault="00AF3284" w:rsidP="00AF3284">
            <w:pPr>
              <w:tabs>
                <w:tab w:val="center" w:pos="8640"/>
              </w:tabs>
              <w:jc w:val="center"/>
              <w:rPr>
                <w:rFonts w:ascii="Times New Roman" w:hAnsi="Times New Roman"/>
                <w:b/>
                <w:bCs/>
                <w:sz w:val="20"/>
              </w:rPr>
            </w:pPr>
            <w:r w:rsidRPr="00F157AA">
              <w:rPr>
                <w:rFonts w:ascii="Times New Roman" w:hAnsi="Times New Roman"/>
                <w:b/>
                <w:sz w:val="20"/>
                <w:u w:val="single"/>
              </w:rPr>
              <w:t>Budget Request:</w:t>
            </w:r>
          </w:p>
        </w:tc>
      </w:tr>
      <w:tr w:rsidR="00600BE5" w:rsidRPr="00600BE5" w14:paraId="1C292D43" w14:textId="77777777">
        <w:trPr>
          <w:jc w:val="right"/>
        </w:trPr>
        <w:tc>
          <w:tcPr>
            <w:tcW w:w="3262" w:type="dxa"/>
            <w:vAlign w:val="bottom"/>
          </w:tcPr>
          <w:p w14:paraId="19B0513C" w14:textId="77777777" w:rsidR="00600BE5" w:rsidRPr="00F157AA" w:rsidRDefault="00AF3284" w:rsidP="00AF3284">
            <w:pPr>
              <w:tabs>
                <w:tab w:val="center" w:pos="8640"/>
              </w:tabs>
              <w:jc w:val="center"/>
              <w:rPr>
                <w:rFonts w:ascii="Times New Roman" w:hAnsi="Times New Roman"/>
                <w:b/>
                <w:bCs/>
                <w:sz w:val="20"/>
              </w:rPr>
            </w:pPr>
            <w:r w:rsidRPr="00F157AA">
              <w:rPr>
                <w:rFonts w:ascii="Times New Roman" w:hAnsi="Times New Roman"/>
                <w:b/>
                <w:sz w:val="20"/>
                <w:u w:val="single"/>
              </w:rPr>
              <w:t>Operating and Capital</w:t>
            </w:r>
          </w:p>
        </w:tc>
      </w:tr>
    </w:tbl>
    <w:p w14:paraId="72BA1B3C" w14:textId="77777777" w:rsidR="006D7851" w:rsidRDefault="006D7851" w:rsidP="00AF3284">
      <w:pPr>
        <w:tabs>
          <w:tab w:val="center" w:pos="8640"/>
        </w:tabs>
        <w:ind w:right="-720"/>
        <w:jc w:val="right"/>
        <w:rPr>
          <w:rFonts w:ascii="Times New Roman" w:hAnsi="Times New Roman"/>
          <w:b/>
          <w:bCs/>
          <w:sz w:val="20"/>
        </w:rPr>
      </w:pPr>
    </w:p>
    <w:p w14:paraId="68B3B9F7" w14:textId="77777777" w:rsidR="006D7851" w:rsidRPr="0036714E" w:rsidRDefault="006D7851" w:rsidP="006D7851">
      <w:pPr>
        <w:tabs>
          <w:tab w:val="center" w:pos="8640"/>
        </w:tabs>
        <w:ind w:right="-720"/>
        <w:jc w:val="both"/>
        <w:rPr>
          <w:rFonts w:ascii="Times New Roman" w:hAnsi="Times New Roman"/>
          <w:b/>
          <w:bCs/>
          <w:sz w:val="20"/>
        </w:rPr>
      </w:pPr>
    </w:p>
    <w:p w14:paraId="51F22B98" w14:textId="77777777" w:rsidR="006D7851" w:rsidRPr="0036714E" w:rsidRDefault="006D7851" w:rsidP="006D7851">
      <w:pPr>
        <w:pStyle w:val="Heading2"/>
        <w:rPr>
          <w:rFonts w:ascii="Times New Roman" w:hAnsi="Times New Roman"/>
          <w:sz w:val="20"/>
        </w:rPr>
      </w:pPr>
      <w:r w:rsidRPr="0036714E">
        <w:rPr>
          <w:rFonts w:ascii="Times New Roman" w:hAnsi="Times New Roman"/>
          <w:sz w:val="20"/>
        </w:rPr>
        <w:t>Resolution</w:t>
      </w:r>
    </w:p>
    <w:p w14:paraId="527F5184" w14:textId="77777777" w:rsidR="006D7851" w:rsidRPr="0036714E" w:rsidRDefault="006D7851" w:rsidP="006D7851">
      <w:pPr>
        <w:widowControl w:val="0"/>
        <w:adjustRightInd w:val="0"/>
        <w:rPr>
          <w:rFonts w:ascii="Times New Roman" w:hAnsi="Times New Roman"/>
          <w:b/>
          <w:bCs/>
          <w:sz w:val="20"/>
        </w:rPr>
      </w:pPr>
    </w:p>
    <w:p w14:paraId="57E0D132" w14:textId="77777777" w:rsidR="00323E7D" w:rsidRDefault="006D7851" w:rsidP="006D7851">
      <w:pPr>
        <w:ind w:right="-540"/>
        <w:rPr>
          <w:rFonts w:ascii="Times New Roman" w:hAnsi="Times New Roman"/>
          <w:sz w:val="20"/>
        </w:rPr>
      </w:pPr>
      <w:r>
        <w:rPr>
          <w:rFonts w:ascii="Times New Roman" w:hAnsi="Times New Roman"/>
          <w:sz w:val="20"/>
        </w:rPr>
        <w:t>Whereas, Illinois State University is required t</w:t>
      </w:r>
      <w:r w:rsidR="00122611">
        <w:rPr>
          <w:rFonts w:ascii="Times New Roman" w:hAnsi="Times New Roman"/>
          <w:sz w:val="20"/>
        </w:rPr>
        <w:t xml:space="preserve">o submit its appropriated </w:t>
      </w:r>
      <w:r>
        <w:rPr>
          <w:rFonts w:ascii="Times New Roman" w:hAnsi="Times New Roman"/>
          <w:sz w:val="20"/>
        </w:rPr>
        <w:t xml:space="preserve">operating budget request and its capital </w:t>
      </w:r>
    </w:p>
    <w:p w14:paraId="796712FC" w14:textId="66C65E2D" w:rsidR="006D7851" w:rsidRDefault="006D7851" w:rsidP="006D7851">
      <w:pPr>
        <w:ind w:right="-540"/>
        <w:rPr>
          <w:rFonts w:ascii="Times New Roman" w:hAnsi="Times New Roman"/>
          <w:sz w:val="20"/>
        </w:rPr>
      </w:pPr>
      <w:r>
        <w:rPr>
          <w:rFonts w:ascii="Times New Roman" w:hAnsi="Times New Roman"/>
          <w:sz w:val="20"/>
        </w:rPr>
        <w:t>appropriation request to the Illinois Board of Higher Education, and</w:t>
      </w:r>
    </w:p>
    <w:p w14:paraId="02504C2E" w14:textId="77777777" w:rsidR="006D7851" w:rsidRDefault="006D7851" w:rsidP="006D7851">
      <w:pPr>
        <w:ind w:right="-540"/>
        <w:rPr>
          <w:rFonts w:ascii="Times New Roman" w:hAnsi="Times New Roman"/>
          <w:sz w:val="20"/>
        </w:rPr>
      </w:pPr>
    </w:p>
    <w:p w14:paraId="725AE69D" w14:textId="187F0C0D" w:rsidR="00B40A55" w:rsidRDefault="006D7851" w:rsidP="006D7851">
      <w:pPr>
        <w:ind w:right="-540"/>
        <w:rPr>
          <w:rFonts w:ascii="Times New Roman" w:hAnsi="Times New Roman"/>
          <w:sz w:val="20"/>
        </w:rPr>
      </w:pPr>
      <w:r>
        <w:rPr>
          <w:rFonts w:ascii="Times New Roman" w:hAnsi="Times New Roman"/>
          <w:sz w:val="20"/>
        </w:rPr>
        <w:t>Whereas, the authority for app</w:t>
      </w:r>
      <w:r w:rsidR="00122611">
        <w:rPr>
          <w:rFonts w:ascii="Times New Roman" w:hAnsi="Times New Roman"/>
          <w:sz w:val="20"/>
        </w:rPr>
        <w:t xml:space="preserve">roval of the appropriated </w:t>
      </w:r>
      <w:r>
        <w:rPr>
          <w:rFonts w:ascii="Times New Roman" w:hAnsi="Times New Roman"/>
          <w:sz w:val="20"/>
        </w:rPr>
        <w:t>operating budget request and the capital appropriation</w:t>
      </w:r>
    </w:p>
    <w:p w14:paraId="26C768AA" w14:textId="244E1251" w:rsidR="006D7851" w:rsidRDefault="006D7851" w:rsidP="006D7851">
      <w:pPr>
        <w:ind w:right="-540"/>
        <w:rPr>
          <w:rFonts w:ascii="Times New Roman" w:hAnsi="Times New Roman"/>
          <w:sz w:val="20"/>
        </w:rPr>
      </w:pPr>
      <w:r>
        <w:rPr>
          <w:rFonts w:ascii="Times New Roman" w:hAnsi="Times New Roman"/>
          <w:sz w:val="20"/>
        </w:rPr>
        <w:t>request resides with the Board of Trustees of Illinois State University</w:t>
      </w:r>
      <w:r w:rsidR="00977131">
        <w:rPr>
          <w:rFonts w:ascii="Times New Roman" w:hAnsi="Times New Roman"/>
          <w:sz w:val="20"/>
        </w:rPr>
        <w:t>;</w:t>
      </w:r>
    </w:p>
    <w:p w14:paraId="4B0716E0" w14:textId="77777777" w:rsidR="006D7851" w:rsidRDefault="006D7851" w:rsidP="006D7851">
      <w:pPr>
        <w:ind w:right="-540"/>
        <w:rPr>
          <w:rFonts w:ascii="Times New Roman" w:hAnsi="Times New Roman"/>
          <w:sz w:val="20"/>
        </w:rPr>
      </w:pPr>
    </w:p>
    <w:p w14:paraId="6A057666" w14:textId="55E68E85" w:rsidR="00A771CE" w:rsidRDefault="006D7851" w:rsidP="006D7851">
      <w:pPr>
        <w:ind w:right="-540"/>
        <w:rPr>
          <w:rFonts w:ascii="Times New Roman" w:hAnsi="Times New Roman"/>
          <w:sz w:val="20"/>
        </w:rPr>
      </w:pPr>
      <w:r>
        <w:rPr>
          <w:rFonts w:ascii="Times New Roman" w:hAnsi="Times New Roman"/>
          <w:sz w:val="20"/>
        </w:rPr>
        <w:t>Therefore, be it resolved that the Board of Trustees appro</w:t>
      </w:r>
      <w:r w:rsidR="00332146">
        <w:rPr>
          <w:rFonts w:ascii="Times New Roman" w:hAnsi="Times New Roman"/>
          <w:sz w:val="20"/>
        </w:rPr>
        <w:t>ves the FY</w:t>
      </w:r>
      <w:r w:rsidR="008F31EA">
        <w:rPr>
          <w:rFonts w:ascii="Times New Roman" w:hAnsi="Times New Roman"/>
          <w:sz w:val="20"/>
        </w:rPr>
        <w:t>20</w:t>
      </w:r>
      <w:r w:rsidR="00AA46B8">
        <w:rPr>
          <w:rFonts w:ascii="Times New Roman" w:hAnsi="Times New Roman"/>
          <w:sz w:val="20"/>
        </w:rPr>
        <w:t>1</w:t>
      </w:r>
      <w:r w:rsidR="00252F3A">
        <w:rPr>
          <w:rFonts w:ascii="Times New Roman" w:hAnsi="Times New Roman"/>
          <w:sz w:val="20"/>
        </w:rPr>
        <w:t>6</w:t>
      </w:r>
      <w:r>
        <w:rPr>
          <w:rFonts w:ascii="Times New Roman" w:hAnsi="Times New Roman"/>
          <w:sz w:val="20"/>
        </w:rPr>
        <w:t xml:space="preserve"> appro</w:t>
      </w:r>
      <w:r w:rsidR="00122611">
        <w:rPr>
          <w:rFonts w:ascii="Times New Roman" w:hAnsi="Times New Roman"/>
          <w:sz w:val="20"/>
        </w:rPr>
        <w:t xml:space="preserve">priated </w:t>
      </w:r>
      <w:r>
        <w:rPr>
          <w:rFonts w:ascii="Times New Roman" w:hAnsi="Times New Roman"/>
          <w:sz w:val="20"/>
        </w:rPr>
        <w:t xml:space="preserve">operating budget request </w:t>
      </w:r>
    </w:p>
    <w:p w14:paraId="6E9C1DE3" w14:textId="05612B85" w:rsidR="006D7851" w:rsidRDefault="00977131" w:rsidP="006D7851">
      <w:pPr>
        <w:ind w:right="-540"/>
        <w:rPr>
          <w:rFonts w:ascii="Times New Roman" w:hAnsi="Times New Roman"/>
          <w:sz w:val="20"/>
        </w:rPr>
      </w:pPr>
      <w:r w:rsidRPr="000F165F">
        <w:rPr>
          <w:rFonts w:ascii="Times New Roman" w:hAnsi="Times New Roman"/>
          <w:sz w:val="20"/>
        </w:rPr>
        <w:t>t</w:t>
      </w:r>
      <w:r w:rsidR="00FC78F5" w:rsidRPr="000F165F">
        <w:rPr>
          <w:rFonts w:ascii="Times New Roman" w:hAnsi="Times New Roman"/>
          <w:sz w:val="20"/>
        </w:rPr>
        <w:t>otalin</w:t>
      </w:r>
      <w:r w:rsidR="00FC78F5" w:rsidRPr="00172F4D">
        <w:rPr>
          <w:rFonts w:ascii="Times New Roman" w:hAnsi="Times New Roman"/>
          <w:sz w:val="20"/>
        </w:rPr>
        <w:t xml:space="preserve">g </w:t>
      </w:r>
      <w:r w:rsidR="000F165F" w:rsidRPr="00172F4D">
        <w:rPr>
          <w:rFonts w:ascii="Times New Roman" w:hAnsi="Times New Roman"/>
          <w:sz w:val="20"/>
        </w:rPr>
        <w:t>$</w:t>
      </w:r>
      <w:r w:rsidR="002D72B5" w:rsidRPr="00172F4D">
        <w:rPr>
          <w:rFonts w:ascii="Times New Roman" w:hAnsi="Times New Roman"/>
          <w:sz w:val="20"/>
        </w:rPr>
        <w:t>81.8</w:t>
      </w:r>
      <w:r w:rsidR="0025324E" w:rsidRPr="002544D6">
        <w:rPr>
          <w:rFonts w:ascii="Times New Roman" w:hAnsi="Times New Roman"/>
          <w:sz w:val="20"/>
        </w:rPr>
        <w:t xml:space="preserve"> million </w:t>
      </w:r>
      <w:r w:rsidR="006D7851" w:rsidRPr="002544D6">
        <w:rPr>
          <w:rFonts w:ascii="Times New Roman" w:hAnsi="Times New Roman"/>
          <w:sz w:val="20"/>
        </w:rPr>
        <w:t>and the capital appropriation request</w:t>
      </w:r>
      <w:r w:rsidR="00A13699" w:rsidRPr="002544D6">
        <w:rPr>
          <w:rFonts w:ascii="Times New Roman" w:hAnsi="Times New Roman"/>
          <w:sz w:val="20"/>
        </w:rPr>
        <w:t xml:space="preserve"> </w:t>
      </w:r>
      <w:r w:rsidR="00A13699" w:rsidRPr="00A165BB">
        <w:rPr>
          <w:rFonts w:ascii="Times New Roman" w:hAnsi="Times New Roman"/>
          <w:sz w:val="20"/>
        </w:rPr>
        <w:t xml:space="preserve">totaling </w:t>
      </w:r>
      <w:r w:rsidR="004874C2">
        <w:rPr>
          <w:rFonts w:ascii="Times New Roman" w:hAnsi="Times New Roman"/>
          <w:sz w:val="20"/>
        </w:rPr>
        <w:t>$278.9</w:t>
      </w:r>
      <w:r w:rsidR="0025324E" w:rsidRPr="00A165BB">
        <w:rPr>
          <w:rFonts w:ascii="Times New Roman" w:hAnsi="Times New Roman"/>
          <w:sz w:val="20"/>
        </w:rPr>
        <w:t xml:space="preserve"> million</w:t>
      </w:r>
      <w:r w:rsidR="006D7851" w:rsidRPr="00A97F50">
        <w:rPr>
          <w:rFonts w:ascii="Times New Roman" w:hAnsi="Times New Roman"/>
          <w:sz w:val="20"/>
        </w:rPr>
        <w:t>.</w:t>
      </w:r>
    </w:p>
    <w:p w14:paraId="763390D0" w14:textId="77777777" w:rsidR="006D7851" w:rsidRDefault="006D7851" w:rsidP="006D7851">
      <w:pPr>
        <w:ind w:right="-720"/>
        <w:rPr>
          <w:rFonts w:ascii="Times New Roman" w:hAnsi="Times New Roman"/>
          <w:sz w:val="20"/>
          <w:u w:val="single"/>
        </w:rPr>
      </w:pPr>
    </w:p>
    <w:p w14:paraId="33476570" w14:textId="77777777" w:rsidR="006D7851" w:rsidRPr="0036714E" w:rsidRDefault="006D7851" w:rsidP="006D7851">
      <w:pPr>
        <w:ind w:right="-720"/>
        <w:rPr>
          <w:rFonts w:ascii="Times New Roman" w:hAnsi="Times New Roman"/>
          <w:sz w:val="20"/>
          <w:u w:val="single"/>
        </w:rPr>
      </w:pP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550B467D" w14:textId="77777777" w:rsidR="006D7851" w:rsidRPr="0036714E" w:rsidRDefault="006D7851" w:rsidP="006D7851">
      <w:pPr>
        <w:tabs>
          <w:tab w:val="decimal" w:pos="270"/>
        </w:tabs>
        <w:ind w:right="-720"/>
        <w:rPr>
          <w:rFonts w:ascii="Times New Roman" w:hAnsi="Times New Roman"/>
          <w:sz w:val="20"/>
        </w:rPr>
      </w:pPr>
      <w:r w:rsidRPr="0036714E">
        <w:rPr>
          <w:rFonts w:ascii="Times New Roman" w:hAnsi="Times New Roman"/>
          <w:sz w:val="20"/>
        </w:rPr>
        <w:tab/>
        <w:t>Board Action on:</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r>
      <w:r w:rsidRPr="0036714E">
        <w:rPr>
          <w:rFonts w:ascii="Times New Roman" w:hAnsi="Times New Roman"/>
          <w:sz w:val="20"/>
        </w:rPr>
        <w:tab/>
        <w:t>Postpone:</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2C9C0A38" w14:textId="77777777" w:rsidR="006D7851" w:rsidRPr="0036714E" w:rsidRDefault="006D7851" w:rsidP="006D7851">
      <w:pPr>
        <w:tabs>
          <w:tab w:val="left" w:pos="360"/>
        </w:tabs>
        <w:ind w:left="-720" w:right="-720"/>
        <w:rPr>
          <w:rFonts w:ascii="Times New Roman" w:hAnsi="Times New Roman"/>
          <w:sz w:val="20"/>
        </w:rPr>
      </w:pPr>
      <w:r w:rsidRPr="0036714E">
        <w:rPr>
          <w:rFonts w:ascii="Times New Roman" w:hAnsi="Times New Roman"/>
          <w:sz w:val="20"/>
        </w:rPr>
        <w:tab/>
        <w:t>Motion by:</w:t>
      </w:r>
      <w:r w:rsidRPr="0036714E">
        <w:rPr>
          <w:rFonts w:ascii="Times New Roman" w:hAnsi="Times New Roman"/>
          <w:sz w:val="20"/>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t>Amend:</w:t>
      </w:r>
      <w:r w:rsidRPr="0036714E">
        <w:rPr>
          <w:rFonts w:ascii="Times New Roman" w:hAnsi="Times New Roman"/>
          <w:sz w:val="20"/>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7940D3E4" w14:textId="77777777" w:rsidR="006D7851" w:rsidRPr="0036714E" w:rsidRDefault="006D7851" w:rsidP="006D7851">
      <w:pPr>
        <w:tabs>
          <w:tab w:val="left" w:pos="360"/>
        </w:tabs>
        <w:ind w:left="-720" w:right="-720"/>
        <w:rPr>
          <w:rFonts w:ascii="Times New Roman" w:hAnsi="Times New Roman"/>
          <w:sz w:val="20"/>
        </w:rPr>
      </w:pPr>
      <w:r w:rsidRPr="0036714E">
        <w:rPr>
          <w:rFonts w:ascii="Times New Roman" w:hAnsi="Times New Roman"/>
          <w:sz w:val="20"/>
        </w:rPr>
        <w:tab/>
        <w:t>Second by:</w:t>
      </w:r>
      <w:r w:rsidRPr="0036714E">
        <w:rPr>
          <w:rFonts w:ascii="Times New Roman" w:hAnsi="Times New Roman"/>
          <w:sz w:val="20"/>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t>Disapprove:</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470DD1F5" w14:textId="77777777" w:rsidR="006D7851" w:rsidRPr="0036714E" w:rsidRDefault="006D7851" w:rsidP="006D7851">
      <w:pPr>
        <w:tabs>
          <w:tab w:val="left" w:pos="360"/>
        </w:tabs>
        <w:ind w:right="-810"/>
        <w:jc w:val="both"/>
        <w:rPr>
          <w:rFonts w:ascii="Times New Roman" w:hAnsi="Times New Roman"/>
          <w:sz w:val="20"/>
          <w:u w:val="single"/>
        </w:rPr>
      </w:pPr>
      <w:r w:rsidRPr="0036714E">
        <w:rPr>
          <w:rFonts w:ascii="Times New Roman" w:hAnsi="Times New Roman"/>
          <w:sz w:val="20"/>
        </w:rPr>
        <w:tab/>
        <w:t>Vote:</w:t>
      </w:r>
      <w:r w:rsidRPr="0036714E">
        <w:rPr>
          <w:rFonts w:ascii="Times New Roman" w:hAnsi="Times New Roman"/>
          <w:sz w:val="20"/>
        </w:rPr>
        <w:tab/>
        <w:t>Yeas:</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Nays:</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t>Approve:</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783C6EDB" w14:textId="77777777" w:rsidR="006D7851" w:rsidRPr="0036714E" w:rsidRDefault="006D7851" w:rsidP="006D7851">
      <w:pPr>
        <w:tabs>
          <w:tab w:val="left" w:pos="360"/>
        </w:tabs>
        <w:ind w:right="-810"/>
        <w:jc w:val="both"/>
        <w:rPr>
          <w:rFonts w:ascii="Times New Roman" w:hAnsi="Times New Roman"/>
          <w:sz w:val="20"/>
          <w:u w:val="single"/>
        </w:rPr>
      </w:pPr>
    </w:p>
    <w:p w14:paraId="4175B302" w14:textId="1E638CDB" w:rsidR="006D7851" w:rsidRPr="0036714E" w:rsidRDefault="006D7851" w:rsidP="006D7851">
      <w:pPr>
        <w:tabs>
          <w:tab w:val="left" w:pos="360"/>
        </w:tabs>
        <w:ind w:right="-810"/>
        <w:jc w:val="both"/>
        <w:rPr>
          <w:rFonts w:ascii="Times New Roman" w:hAnsi="Times New Roman"/>
          <w:sz w:val="20"/>
          <w:u w:val="single"/>
        </w:rPr>
      </w:pP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t xml:space="preserve">  </w:t>
      </w:r>
      <w:r>
        <w:rPr>
          <w:rFonts w:ascii="Times New Roman" w:hAnsi="Times New Roman"/>
          <w:sz w:val="20"/>
          <w:szCs w:val="12"/>
        </w:rPr>
        <w:tab/>
      </w:r>
      <w:r>
        <w:rPr>
          <w:rFonts w:ascii="Times New Roman" w:hAnsi="Times New Roman"/>
          <w:sz w:val="20"/>
          <w:szCs w:val="12"/>
        </w:rPr>
        <w:tab/>
      </w:r>
      <w:r>
        <w:rPr>
          <w:rFonts w:ascii="Times New Roman" w:hAnsi="Times New Roman"/>
          <w:sz w:val="20"/>
          <w:szCs w:val="12"/>
        </w:rPr>
        <w:tab/>
        <w:t xml:space="preserve"> </w:t>
      </w:r>
      <w:r w:rsidRPr="0036714E">
        <w:rPr>
          <w:rFonts w:ascii="Times New Roman" w:hAnsi="Times New Roman"/>
          <w:sz w:val="20"/>
          <w:szCs w:val="12"/>
        </w:rPr>
        <w:t xml:space="preserve">   </w:t>
      </w:r>
      <w:r w:rsidR="00332146">
        <w:rPr>
          <w:rFonts w:ascii="Times New Roman" w:hAnsi="Times New Roman"/>
          <w:sz w:val="20"/>
          <w:u w:val="single"/>
        </w:rPr>
        <w:t>ATTEST</w:t>
      </w:r>
      <w:r w:rsidR="00AA46B8">
        <w:rPr>
          <w:rFonts w:ascii="Times New Roman" w:hAnsi="Times New Roman"/>
          <w:sz w:val="20"/>
          <w:u w:val="single"/>
        </w:rPr>
        <w:t>: Board Action, October 2</w:t>
      </w:r>
      <w:r w:rsidR="00252F3A">
        <w:rPr>
          <w:rFonts w:ascii="Times New Roman" w:hAnsi="Times New Roman"/>
          <w:sz w:val="20"/>
          <w:u w:val="single"/>
        </w:rPr>
        <w:t>4</w:t>
      </w:r>
      <w:r w:rsidR="00AA46B8">
        <w:rPr>
          <w:rFonts w:ascii="Times New Roman" w:hAnsi="Times New Roman"/>
          <w:sz w:val="20"/>
          <w:u w:val="single"/>
        </w:rPr>
        <w:t>, 201</w:t>
      </w:r>
      <w:r w:rsidR="00252F3A">
        <w:rPr>
          <w:rFonts w:ascii="Times New Roman" w:hAnsi="Times New Roman"/>
          <w:sz w:val="20"/>
          <w:u w:val="single"/>
        </w:rPr>
        <w:t>4</w:t>
      </w:r>
    </w:p>
    <w:p w14:paraId="5B61197C" w14:textId="77777777" w:rsidR="006D7851" w:rsidRDefault="006D7851" w:rsidP="006D7851">
      <w:pPr>
        <w:ind w:left="4320" w:firstLine="720"/>
        <w:jc w:val="right"/>
        <w:rPr>
          <w:rFonts w:ascii="Times New Roman" w:hAnsi="Times New Roman"/>
          <w:sz w:val="20"/>
          <w:u w:val="single"/>
        </w:rPr>
      </w:pPr>
    </w:p>
    <w:p w14:paraId="371B8802" w14:textId="77777777" w:rsidR="006D7851" w:rsidRDefault="006D7851" w:rsidP="006D7851">
      <w:pPr>
        <w:ind w:left="4320" w:firstLine="720"/>
        <w:jc w:val="right"/>
        <w:rPr>
          <w:rFonts w:ascii="Times New Roman" w:hAnsi="Times New Roman"/>
          <w:sz w:val="20"/>
          <w:u w:val="single"/>
        </w:rPr>
      </w:pPr>
    </w:p>
    <w:p w14:paraId="363D8606" w14:textId="77777777" w:rsidR="006D7851" w:rsidRPr="0036714E" w:rsidRDefault="006D7851" w:rsidP="006D7851">
      <w:pPr>
        <w:ind w:left="5760"/>
        <w:rPr>
          <w:rFonts w:ascii="Times New Roman" w:hAnsi="Times New Roman"/>
          <w:sz w:val="20"/>
          <w:u w:val="single"/>
        </w:rPr>
      </w:pPr>
      <w:r w:rsidRPr="0036714E">
        <w:rPr>
          <w:rFonts w:ascii="Times New Roman" w:hAnsi="Times New Roman"/>
          <w:b/>
          <w:sz w:val="20"/>
        </w:rPr>
        <w:t xml:space="preserve">             </w:t>
      </w:r>
      <w:r w:rsidRPr="0036714E">
        <w:rPr>
          <w:rFonts w:ascii="Times New Roman" w:hAnsi="Times New Roman"/>
          <w:sz w:val="20"/>
          <w:u w:val="single"/>
        </w:rPr>
        <w:t>_____________________________</w:t>
      </w:r>
    </w:p>
    <w:p w14:paraId="714B7117" w14:textId="77777777" w:rsidR="006D7851" w:rsidRDefault="006D7851" w:rsidP="006D7851">
      <w:pPr>
        <w:pStyle w:val="Heading3"/>
        <w:rPr>
          <w:sz w:val="20"/>
        </w:rPr>
      </w:pPr>
      <w:r w:rsidRPr="0036714E">
        <w:rPr>
          <w:sz w:val="20"/>
        </w:rPr>
        <w:t xml:space="preserve"> </w:t>
      </w:r>
      <w:r w:rsidRPr="0036714E">
        <w:rPr>
          <w:sz w:val="20"/>
        </w:rPr>
        <w:tab/>
      </w:r>
      <w:r w:rsidRPr="0036714E">
        <w:rPr>
          <w:sz w:val="20"/>
        </w:rPr>
        <w:tab/>
        <w:t xml:space="preserve">                           </w:t>
      </w:r>
      <w:r>
        <w:rPr>
          <w:sz w:val="20"/>
        </w:rPr>
        <w:tab/>
      </w:r>
      <w:r>
        <w:rPr>
          <w:sz w:val="20"/>
        </w:rPr>
        <w:tab/>
      </w:r>
      <w:r>
        <w:rPr>
          <w:sz w:val="20"/>
        </w:rPr>
        <w:tab/>
      </w:r>
      <w:r>
        <w:rPr>
          <w:sz w:val="20"/>
        </w:rPr>
        <w:tab/>
      </w:r>
      <w:r w:rsidRPr="0036714E">
        <w:rPr>
          <w:sz w:val="20"/>
        </w:rPr>
        <w:t xml:space="preserve"> </w:t>
      </w:r>
      <w:r>
        <w:rPr>
          <w:sz w:val="20"/>
        </w:rPr>
        <w:tab/>
      </w:r>
      <w:r>
        <w:rPr>
          <w:sz w:val="20"/>
        </w:rPr>
        <w:tab/>
      </w:r>
      <w:r w:rsidRPr="0036714E">
        <w:rPr>
          <w:sz w:val="20"/>
        </w:rPr>
        <w:t>Secretary/Chairperson</w:t>
      </w:r>
    </w:p>
    <w:p w14:paraId="551F52FE" w14:textId="77777777" w:rsidR="00976D37" w:rsidRDefault="00976D37" w:rsidP="00535CD2">
      <w:pPr>
        <w:pStyle w:val="Title"/>
        <w:tabs>
          <w:tab w:val="decimal" w:pos="7920"/>
        </w:tabs>
        <w:ind w:right="544"/>
        <w:rPr>
          <w:rFonts w:ascii="Times New Roman" w:hAnsi="Times New Roman"/>
          <w:sz w:val="20"/>
        </w:rPr>
      </w:pPr>
    </w:p>
    <w:p w14:paraId="2DBFB131" w14:textId="77777777" w:rsidR="00976D37" w:rsidRDefault="00976D37" w:rsidP="00535CD2">
      <w:pPr>
        <w:pStyle w:val="Title"/>
        <w:tabs>
          <w:tab w:val="decimal" w:pos="7920"/>
        </w:tabs>
        <w:ind w:right="544"/>
        <w:rPr>
          <w:rFonts w:ascii="Times New Roman" w:hAnsi="Times New Roman"/>
          <w:sz w:val="20"/>
        </w:rPr>
      </w:pPr>
    </w:p>
    <w:p w14:paraId="2DFD7341" w14:textId="77777777" w:rsidR="00976D37" w:rsidRDefault="00976D37" w:rsidP="00535CD2">
      <w:pPr>
        <w:pStyle w:val="Title"/>
        <w:tabs>
          <w:tab w:val="decimal" w:pos="7920"/>
        </w:tabs>
        <w:ind w:right="544"/>
        <w:rPr>
          <w:rFonts w:ascii="Times New Roman" w:hAnsi="Times New Roman"/>
          <w:sz w:val="20"/>
        </w:rPr>
      </w:pPr>
    </w:p>
    <w:p w14:paraId="6F3B3EE8" w14:textId="77777777" w:rsidR="00976D37" w:rsidRDefault="00976D37" w:rsidP="00535CD2">
      <w:pPr>
        <w:pStyle w:val="Title"/>
        <w:tabs>
          <w:tab w:val="decimal" w:pos="7920"/>
        </w:tabs>
        <w:ind w:right="544"/>
        <w:rPr>
          <w:rFonts w:ascii="Times New Roman" w:hAnsi="Times New Roman"/>
          <w:sz w:val="20"/>
        </w:rPr>
      </w:pPr>
    </w:p>
    <w:p w14:paraId="71939B33" w14:textId="77777777" w:rsidR="00976D37" w:rsidRDefault="00976D37" w:rsidP="00535CD2">
      <w:pPr>
        <w:pStyle w:val="Title"/>
        <w:tabs>
          <w:tab w:val="decimal" w:pos="7920"/>
        </w:tabs>
        <w:ind w:right="544"/>
        <w:rPr>
          <w:rFonts w:ascii="Times New Roman" w:hAnsi="Times New Roman"/>
          <w:sz w:val="20"/>
        </w:rPr>
      </w:pPr>
    </w:p>
    <w:p w14:paraId="46B5E2A5" w14:textId="77777777" w:rsidR="00976D37" w:rsidRDefault="00976D37" w:rsidP="00535CD2">
      <w:pPr>
        <w:pStyle w:val="Title"/>
        <w:tabs>
          <w:tab w:val="decimal" w:pos="7920"/>
        </w:tabs>
        <w:ind w:right="544"/>
        <w:rPr>
          <w:rFonts w:ascii="Times New Roman" w:hAnsi="Times New Roman"/>
          <w:sz w:val="20"/>
        </w:rPr>
      </w:pPr>
    </w:p>
    <w:p w14:paraId="4AC4BC2B" w14:textId="77777777" w:rsidR="00976D37" w:rsidRDefault="00976D37" w:rsidP="00535CD2">
      <w:pPr>
        <w:pStyle w:val="Title"/>
        <w:tabs>
          <w:tab w:val="decimal" w:pos="7920"/>
        </w:tabs>
        <w:ind w:right="544"/>
        <w:rPr>
          <w:rFonts w:ascii="Times New Roman" w:hAnsi="Times New Roman"/>
          <w:sz w:val="20"/>
        </w:rPr>
      </w:pPr>
    </w:p>
    <w:p w14:paraId="78738A7F" w14:textId="77777777" w:rsidR="00976D37" w:rsidRDefault="00976D37" w:rsidP="00535CD2">
      <w:pPr>
        <w:pStyle w:val="Title"/>
        <w:tabs>
          <w:tab w:val="decimal" w:pos="7920"/>
        </w:tabs>
        <w:ind w:right="544"/>
        <w:rPr>
          <w:rFonts w:ascii="Times New Roman" w:hAnsi="Times New Roman"/>
          <w:sz w:val="20"/>
        </w:rPr>
      </w:pPr>
    </w:p>
    <w:p w14:paraId="763E622F" w14:textId="44037EAC" w:rsidR="00760E11" w:rsidRDefault="00760E11" w:rsidP="00535CD2">
      <w:pPr>
        <w:pStyle w:val="Title"/>
        <w:tabs>
          <w:tab w:val="decimal" w:pos="7920"/>
        </w:tabs>
        <w:ind w:right="544"/>
        <w:rPr>
          <w:rFonts w:ascii="Times New Roman" w:hAnsi="Times New Roman"/>
          <w:sz w:val="20"/>
        </w:rPr>
      </w:pPr>
      <w:bookmarkStart w:id="0" w:name="_GoBack"/>
      <w:bookmarkEnd w:id="0"/>
      <w:r>
        <w:rPr>
          <w:rFonts w:ascii="Times New Roman" w:hAnsi="Times New Roman"/>
          <w:sz w:val="20"/>
        </w:rPr>
        <w:lastRenderedPageBreak/>
        <w:t>Board of Trustees</w:t>
      </w:r>
    </w:p>
    <w:p w14:paraId="52499564" w14:textId="77777777" w:rsidR="00760E11" w:rsidRDefault="00760E11" w:rsidP="00535CD2">
      <w:pPr>
        <w:ind w:right="544"/>
        <w:jc w:val="center"/>
        <w:outlineLvl w:val="0"/>
        <w:rPr>
          <w:rFonts w:ascii="Times New Roman" w:hAnsi="Times New Roman"/>
          <w:b/>
          <w:sz w:val="20"/>
        </w:rPr>
      </w:pPr>
      <w:r>
        <w:rPr>
          <w:rFonts w:ascii="Times New Roman" w:hAnsi="Times New Roman"/>
          <w:b/>
          <w:sz w:val="20"/>
        </w:rPr>
        <w:t>Illinois State University</w:t>
      </w:r>
    </w:p>
    <w:p w14:paraId="6BF501F4" w14:textId="4E266D5F" w:rsidR="00760E11" w:rsidRDefault="00332146" w:rsidP="00535CD2">
      <w:pPr>
        <w:pStyle w:val="Heading2"/>
        <w:keepNext w:val="0"/>
        <w:ind w:right="544"/>
        <w:jc w:val="center"/>
        <w:rPr>
          <w:rFonts w:ascii="Times New Roman" w:hAnsi="Times New Roman"/>
          <w:sz w:val="20"/>
          <w:u w:val="none"/>
        </w:rPr>
      </w:pPr>
      <w:r>
        <w:rPr>
          <w:rFonts w:ascii="Times New Roman" w:hAnsi="Times New Roman"/>
          <w:sz w:val="20"/>
          <w:u w:val="none"/>
        </w:rPr>
        <w:t>FY</w:t>
      </w:r>
      <w:r w:rsidR="008F31EA">
        <w:rPr>
          <w:rFonts w:ascii="Times New Roman" w:hAnsi="Times New Roman"/>
          <w:sz w:val="20"/>
          <w:u w:val="none"/>
        </w:rPr>
        <w:t>20</w:t>
      </w:r>
      <w:r w:rsidR="00AC2D0E">
        <w:rPr>
          <w:rFonts w:ascii="Times New Roman" w:hAnsi="Times New Roman"/>
          <w:sz w:val="20"/>
          <w:u w:val="none"/>
        </w:rPr>
        <w:t>16</w:t>
      </w:r>
      <w:r w:rsidR="00E11941">
        <w:rPr>
          <w:rFonts w:ascii="Times New Roman" w:hAnsi="Times New Roman"/>
          <w:sz w:val="20"/>
          <w:u w:val="none"/>
        </w:rPr>
        <w:t xml:space="preserve"> Appropriated Funds</w:t>
      </w:r>
      <w:r w:rsidR="00760E11">
        <w:rPr>
          <w:rFonts w:ascii="Times New Roman" w:hAnsi="Times New Roman"/>
          <w:sz w:val="20"/>
          <w:u w:val="none"/>
        </w:rPr>
        <w:t xml:space="preserve"> Request</w:t>
      </w:r>
    </w:p>
    <w:p w14:paraId="3158EBAC" w14:textId="2B97A0E7" w:rsidR="00DD4750" w:rsidRPr="00241A5F" w:rsidRDefault="00760E11" w:rsidP="00535CD2">
      <w:pPr>
        <w:pStyle w:val="BodyText2"/>
        <w:tabs>
          <w:tab w:val="decimal" w:pos="8280"/>
        </w:tabs>
        <w:ind w:right="544"/>
        <w:rPr>
          <w:color w:val="auto"/>
        </w:rPr>
      </w:pPr>
      <w:r w:rsidRPr="003D5D88">
        <w:rPr>
          <w:color w:val="auto"/>
        </w:rPr>
        <w:t>Illinois State University</w:t>
      </w:r>
      <w:r w:rsidR="00332146" w:rsidRPr="003D5D88">
        <w:rPr>
          <w:color w:val="auto"/>
        </w:rPr>
        <w:t>’s FY</w:t>
      </w:r>
      <w:r w:rsidR="008F31EA" w:rsidRPr="003D5D88">
        <w:rPr>
          <w:color w:val="auto"/>
        </w:rPr>
        <w:t>20</w:t>
      </w:r>
      <w:r w:rsidR="000004A5">
        <w:rPr>
          <w:color w:val="auto"/>
        </w:rPr>
        <w:t>1</w:t>
      </w:r>
      <w:r w:rsidR="00252F3A">
        <w:rPr>
          <w:color w:val="auto"/>
        </w:rPr>
        <w:t>6</w:t>
      </w:r>
      <w:r w:rsidR="00795147">
        <w:rPr>
          <w:color w:val="auto"/>
        </w:rPr>
        <w:t xml:space="preserve"> </w:t>
      </w:r>
      <w:r w:rsidR="00942279">
        <w:rPr>
          <w:color w:val="auto"/>
        </w:rPr>
        <w:t xml:space="preserve">appropriation </w:t>
      </w:r>
      <w:r w:rsidRPr="003D5D88">
        <w:rPr>
          <w:color w:val="auto"/>
        </w:rPr>
        <w:t>request supports</w:t>
      </w:r>
      <w:r w:rsidR="00A90C14">
        <w:rPr>
          <w:color w:val="auto"/>
        </w:rPr>
        <w:t xml:space="preserve"> the University’s strategic plan, </w:t>
      </w:r>
      <w:r w:rsidR="00A90C14" w:rsidRPr="00A90C14">
        <w:rPr>
          <w:i/>
          <w:color w:val="auto"/>
        </w:rPr>
        <w:t>Educating Illinois 20</w:t>
      </w:r>
      <w:r w:rsidR="00252F3A">
        <w:rPr>
          <w:i/>
          <w:color w:val="auto"/>
        </w:rPr>
        <w:t>13</w:t>
      </w:r>
      <w:r w:rsidR="00A90C14" w:rsidRPr="00A90C14">
        <w:rPr>
          <w:i/>
          <w:color w:val="auto"/>
        </w:rPr>
        <w:t>-201</w:t>
      </w:r>
      <w:r w:rsidR="00252F3A">
        <w:rPr>
          <w:i/>
          <w:color w:val="auto"/>
        </w:rPr>
        <w:t>8</w:t>
      </w:r>
      <w:r w:rsidR="00A90C14">
        <w:rPr>
          <w:color w:val="auto"/>
        </w:rPr>
        <w:t xml:space="preserve"> </w:t>
      </w:r>
      <w:r w:rsidRPr="003D5D88">
        <w:rPr>
          <w:color w:val="auto"/>
        </w:rPr>
        <w:t>and will allow the University to increase its contributions to</w:t>
      </w:r>
      <w:r w:rsidR="00987C61">
        <w:rPr>
          <w:color w:val="auto"/>
        </w:rPr>
        <w:t>ward addressing critical</w:t>
      </w:r>
      <w:r w:rsidR="00A90C14">
        <w:rPr>
          <w:color w:val="auto"/>
        </w:rPr>
        <w:t xml:space="preserve"> </w:t>
      </w:r>
      <w:r w:rsidRPr="003D5D88">
        <w:rPr>
          <w:color w:val="auto"/>
        </w:rPr>
        <w:t>statewide goals</w:t>
      </w:r>
      <w:r w:rsidR="00A90C14">
        <w:rPr>
          <w:color w:val="auto"/>
        </w:rPr>
        <w:t xml:space="preserve"> for higher education.</w:t>
      </w:r>
      <w:r w:rsidR="003D47B4" w:rsidRPr="003D5D88">
        <w:rPr>
          <w:color w:val="auto"/>
        </w:rPr>
        <w:t xml:space="preserve">  </w:t>
      </w:r>
    </w:p>
    <w:p w14:paraId="3B55ED0B" w14:textId="73047AAF" w:rsidR="00760E11" w:rsidRPr="003D5D88" w:rsidRDefault="006A7369" w:rsidP="00535CD2">
      <w:pPr>
        <w:pStyle w:val="BodyText2"/>
        <w:tabs>
          <w:tab w:val="decimal" w:pos="8280"/>
        </w:tabs>
        <w:ind w:right="544"/>
        <w:rPr>
          <w:color w:val="auto"/>
        </w:rPr>
      </w:pPr>
      <w:r>
        <w:rPr>
          <w:color w:val="auto"/>
        </w:rPr>
        <w:t>S</w:t>
      </w:r>
      <w:r w:rsidR="00A4068E">
        <w:rPr>
          <w:color w:val="auto"/>
        </w:rPr>
        <w:t>tate appropriated dollars provide</w:t>
      </w:r>
      <w:r w:rsidR="00760E11" w:rsidRPr="003D5D88">
        <w:rPr>
          <w:color w:val="auto"/>
        </w:rPr>
        <w:t xml:space="preserve"> </w:t>
      </w:r>
      <w:r w:rsidR="00613748">
        <w:rPr>
          <w:color w:val="auto"/>
        </w:rPr>
        <w:t xml:space="preserve">the </w:t>
      </w:r>
      <w:r w:rsidR="00760E11" w:rsidRPr="003D5D88">
        <w:rPr>
          <w:color w:val="auto"/>
        </w:rPr>
        <w:t>critical and i</w:t>
      </w:r>
      <w:r w:rsidR="00A4068E">
        <w:rPr>
          <w:color w:val="auto"/>
        </w:rPr>
        <w:t>rreplaceable core of support for delivery of</w:t>
      </w:r>
      <w:r w:rsidR="00760E11" w:rsidRPr="003D5D88">
        <w:rPr>
          <w:color w:val="auto"/>
        </w:rPr>
        <w:t xml:space="preserve"> high quality i</w:t>
      </w:r>
      <w:r w:rsidR="00A4068E">
        <w:rPr>
          <w:color w:val="auto"/>
        </w:rPr>
        <w:t xml:space="preserve">nstructional programs and educational </w:t>
      </w:r>
      <w:r w:rsidR="00760E11" w:rsidRPr="003D5D88">
        <w:rPr>
          <w:color w:val="auto"/>
        </w:rPr>
        <w:t>service</w:t>
      </w:r>
      <w:r w:rsidR="00A4068E">
        <w:rPr>
          <w:color w:val="auto"/>
        </w:rPr>
        <w:t>s to</w:t>
      </w:r>
      <w:r>
        <w:rPr>
          <w:color w:val="auto"/>
        </w:rPr>
        <w:t xml:space="preserve"> students.  </w:t>
      </w:r>
      <w:r w:rsidR="00A4068E">
        <w:rPr>
          <w:color w:val="auto"/>
        </w:rPr>
        <w:t>Maintaining a solid or increasing appropriation lessens the reliance on the university income fund, which is realized primarily from student tuition payments</w:t>
      </w:r>
      <w:r w:rsidR="00942279">
        <w:rPr>
          <w:color w:val="auto"/>
        </w:rPr>
        <w:t>; therefore, helping to maintain affordability of a college degree</w:t>
      </w:r>
      <w:r w:rsidR="00A4068E">
        <w:rPr>
          <w:color w:val="auto"/>
        </w:rPr>
        <w:t>.</w:t>
      </w:r>
    </w:p>
    <w:p w14:paraId="6A738461" w14:textId="04EAF7B1" w:rsidR="00760E11" w:rsidRPr="003D5D88" w:rsidRDefault="00760E11" w:rsidP="00535CD2">
      <w:pPr>
        <w:pStyle w:val="BodyText2"/>
        <w:ind w:right="544"/>
        <w:rPr>
          <w:color w:val="000000"/>
        </w:rPr>
      </w:pPr>
      <w:r w:rsidRPr="003D5D88">
        <w:rPr>
          <w:color w:val="000000"/>
        </w:rPr>
        <w:t xml:space="preserve">Illinois State University is sensitive to the </w:t>
      </w:r>
      <w:r w:rsidR="00987C61">
        <w:rPr>
          <w:color w:val="000000"/>
        </w:rPr>
        <w:t xml:space="preserve">ongoing fiscal difficulties faced by </w:t>
      </w:r>
      <w:r w:rsidRPr="003D5D88">
        <w:rPr>
          <w:color w:val="000000"/>
        </w:rPr>
        <w:t xml:space="preserve">the state and has been </w:t>
      </w:r>
      <w:r w:rsidRPr="003D5D88">
        <w:rPr>
          <w:color w:val="auto"/>
        </w:rPr>
        <w:t>a responsible steward by directing limited resources to only its highest priorities and needs</w:t>
      </w:r>
      <w:r w:rsidRPr="003D5D88">
        <w:rPr>
          <w:color w:val="000000"/>
        </w:rPr>
        <w:t xml:space="preserve">. </w:t>
      </w:r>
      <w:r w:rsidR="00A4068E">
        <w:rPr>
          <w:color w:val="auto"/>
        </w:rPr>
        <w:t xml:space="preserve">For example, the </w:t>
      </w:r>
      <w:r w:rsidR="00942279">
        <w:rPr>
          <w:color w:val="auto"/>
        </w:rPr>
        <w:t>U</w:t>
      </w:r>
      <w:r w:rsidR="00A4068E">
        <w:rPr>
          <w:color w:val="auto"/>
        </w:rPr>
        <w:t xml:space="preserve">niversity directs resources to </w:t>
      </w:r>
      <w:r w:rsidRPr="003D5D88">
        <w:rPr>
          <w:color w:val="auto"/>
        </w:rPr>
        <w:t xml:space="preserve">financial aid </w:t>
      </w:r>
      <w:r w:rsidR="00A4068E">
        <w:rPr>
          <w:color w:val="auto"/>
        </w:rPr>
        <w:t xml:space="preserve">in order to attract and retain </w:t>
      </w:r>
      <w:r w:rsidRPr="003D5D88">
        <w:rPr>
          <w:color w:val="auto"/>
        </w:rPr>
        <w:t xml:space="preserve">students who have little or no resources </w:t>
      </w:r>
      <w:r w:rsidR="008F31EA" w:rsidRPr="003D5D88">
        <w:rPr>
          <w:color w:val="auto"/>
        </w:rPr>
        <w:t>to pay increasing college costs</w:t>
      </w:r>
      <w:r w:rsidR="00FF6C4B">
        <w:rPr>
          <w:color w:val="auto"/>
        </w:rPr>
        <w:t xml:space="preserve">. In light of limited deferred maintenance funding, resources have also been redirected to </w:t>
      </w:r>
      <w:r w:rsidRPr="003D5D88">
        <w:rPr>
          <w:color w:val="auto"/>
        </w:rPr>
        <w:t>address repair and maintenance of campus facilit</w:t>
      </w:r>
      <w:r w:rsidR="00942279">
        <w:rPr>
          <w:color w:val="auto"/>
        </w:rPr>
        <w:t xml:space="preserve">ies. The University takes pride in </w:t>
      </w:r>
      <w:r w:rsidR="00FF6C4B">
        <w:rPr>
          <w:color w:val="auto"/>
        </w:rPr>
        <w:t>the fact that, a</w:t>
      </w:r>
      <w:r w:rsidRPr="003D5D88">
        <w:rPr>
          <w:color w:val="auto"/>
        </w:rPr>
        <w:t xml:space="preserve">t the same time, instructional </w:t>
      </w:r>
      <w:r w:rsidRPr="003D5D88">
        <w:rPr>
          <w:color w:val="000000"/>
        </w:rPr>
        <w:t>programs</w:t>
      </w:r>
      <w:r w:rsidR="00FF6C4B">
        <w:rPr>
          <w:color w:val="000000"/>
        </w:rPr>
        <w:t xml:space="preserve"> continue to be</w:t>
      </w:r>
      <w:r w:rsidRPr="003D5D88">
        <w:rPr>
          <w:color w:val="000000"/>
        </w:rPr>
        <w:t xml:space="preserve"> recognized nationally and internationally for</w:t>
      </w:r>
      <w:r w:rsidR="00FF6C4B">
        <w:rPr>
          <w:color w:val="000000"/>
        </w:rPr>
        <w:t xml:space="preserve"> their quality and value.</w:t>
      </w:r>
    </w:p>
    <w:p w14:paraId="5F009EBF" w14:textId="065952F0" w:rsidR="00760E11" w:rsidRPr="003D5D88" w:rsidRDefault="00760E11" w:rsidP="00535CD2">
      <w:pPr>
        <w:pStyle w:val="Heading2"/>
        <w:keepNext w:val="0"/>
        <w:spacing w:before="240"/>
        <w:ind w:right="544"/>
        <w:jc w:val="center"/>
        <w:rPr>
          <w:rFonts w:ascii="Times New Roman" w:hAnsi="Times New Roman"/>
          <w:sz w:val="20"/>
        </w:rPr>
      </w:pPr>
      <w:r w:rsidRPr="003D5D88">
        <w:rPr>
          <w:rFonts w:ascii="Times New Roman" w:hAnsi="Times New Roman"/>
          <w:sz w:val="20"/>
        </w:rPr>
        <w:t>FY</w:t>
      </w:r>
      <w:r w:rsidR="008F31EA" w:rsidRPr="003D5D88">
        <w:rPr>
          <w:rFonts w:ascii="Times New Roman" w:hAnsi="Times New Roman"/>
          <w:sz w:val="20"/>
        </w:rPr>
        <w:t>20</w:t>
      </w:r>
      <w:r w:rsidR="000004A5">
        <w:rPr>
          <w:rFonts w:ascii="Times New Roman" w:hAnsi="Times New Roman"/>
          <w:sz w:val="20"/>
        </w:rPr>
        <w:t>1</w:t>
      </w:r>
      <w:r w:rsidR="00252F3A">
        <w:rPr>
          <w:rFonts w:ascii="Times New Roman" w:hAnsi="Times New Roman"/>
          <w:sz w:val="20"/>
        </w:rPr>
        <w:t>6</w:t>
      </w:r>
      <w:r w:rsidR="00122611">
        <w:rPr>
          <w:rFonts w:ascii="Times New Roman" w:hAnsi="Times New Roman"/>
          <w:sz w:val="20"/>
        </w:rPr>
        <w:t xml:space="preserve"> Operating Budget</w:t>
      </w:r>
      <w:r w:rsidRPr="003D5D88">
        <w:rPr>
          <w:rFonts w:ascii="Times New Roman" w:hAnsi="Times New Roman"/>
          <w:sz w:val="20"/>
        </w:rPr>
        <w:t xml:space="preserve"> Request</w:t>
      </w:r>
    </w:p>
    <w:p w14:paraId="7B7DD1DF" w14:textId="77777777" w:rsidR="00F4050F" w:rsidRDefault="00F4050F" w:rsidP="00F4050F">
      <w:pPr>
        <w:pStyle w:val="BodyText2"/>
        <w:ind w:right="544"/>
        <w:jc w:val="both"/>
        <w:rPr>
          <w:color w:val="000000"/>
          <w:u w:val="single"/>
        </w:rPr>
      </w:pPr>
      <w:r w:rsidRPr="002544D6">
        <w:rPr>
          <w:color w:val="000000"/>
          <w:u w:val="single"/>
        </w:rPr>
        <w:t>Core Programs and Support</w:t>
      </w:r>
    </w:p>
    <w:p w14:paraId="24E94316" w14:textId="77777777" w:rsidR="00F4050F" w:rsidRDefault="00F4050F" w:rsidP="00F4050F">
      <w:pPr>
        <w:pStyle w:val="NoSpacing"/>
      </w:pPr>
    </w:p>
    <w:p w14:paraId="6EF8E18B" w14:textId="27442B71" w:rsidR="003D799A" w:rsidRDefault="00DD0E12" w:rsidP="003D799A">
      <w:pPr>
        <w:rPr>
          <w:rFonts w:ascii="Times New Roman" w:hAnsi="Times New Roman"/>
          <w:sz w:val="20"/>
        </w:rPr>
      </w:pPr>
      <w:r>
        <w:rPr>
          <w:rFonts w:ascii="Times New Roman" w:hAnsi="Times New Roman"/>
          <w:sz w:val="20"/>
        </w:rPr>
        <w:t xml:space="preserve">Effective September 1, 2015, </w:t>
      </w:r>
      <w:r w:rsidR="003D799A">
        <w:rPr>
          <w:rFonts w:ascii="Times New Roman" w:hAnsi="Times New Roman"/>
          <w:sz w:val="20"/>
        </w:rPr>
        <w:t>Public Act 97-0607 requires a</w:t>
      </w:r>
      <w:r w:rsidR="003D799A" w:rsidRPr="002E617B">
        <w:rPr>
          <w:rFonts w:ascii="Times New Roman" w:hAnsi="Times New Roman"/>
          <w:sz w:val="20"/>
        </w:rPr>
        <w:t>spiring teachers to provide performance-based evidence that they are ready to</w:t>
      </w:r>
      <w:r w:rsidR="003D799A">
        <w:rPr>
          <w:rFonts w:ascii="Times New Roman" w:hAnsi="Times New Roman"/>
          <w:sz w:val="20"/>
        </w:rPr>
        <w:t xml:space="preserve"> </w:t>
      </w:r>
      <w:r w:rsidR="003D799A" w:rsidRPr="00D064E8">
        <w:rPr>
          <w:rFonts w:ascii="Times New Roman" w:hAnsi="Times New Roman"/>
          <w:sz w:val="20"/>
        </w:rPr>
        <w:t>lead a classroom and support the learning needs of the students</w:t>
      </w:r>
      <w:r w:rsidR="003D799A">
        <w:rPr>
          <w:rFonts w:ascii="Times New Roman" w:hAnsi="Times New Roman"/>
          <w:sz w:val="20"/>
        </w:rPr>
        <w:t xml:space="preserve"> before licensure.</w:t>
      </w:r>
      <w:r w:rsidR="003D799A" w:rsidRPr="00D064E8">
        <w:rPr>
          <w:rFonts w:ascii="Times New Roman" w:hAnsi="Times New Roman"/>
          <w:sz w:val="20"/>
        </w:rPr>
        <w:t xml:space="preserve"> </w:t>
      </w:r>
      <w:r w:rsidR="003D799A">
        <w:rPr>
          <w:rFonts w:ascii="Times New Roman" w:hAnsi="Times New Roman"/>
          <w:sz w:val="20"/>
        </w:rPr>
        <w:t xml:space="preserve"> </w:t>
      </w:r>
      <w:r w:rsidR="003D799A" w:rsidRPr="002E617B">
        <w:rPr>
          <w:rFonts w:ascii="Times New Roman" w:hAnsi="Times New Roman"/>
          <w:sz w:val="20"/>
        </w:rPr>
        <w:t>Th</w:t>
      </w:r>
      <w:r w:rsidR="003D799A">
        <w:rPr>
          <w:rFonts w:ascii="Times New Roman" w:hAnsi="Times New Roman"/>
          <w:sz w:val="20"/>
        </w:rPr>
        <w:t>e</w:t>
      </w:r>
      <w:r w:rsidR="003D799A" w:rsidRPr="002E617B">
        <w:rPr>
          <w:rFonts w:ascii="Times New Roman" w:hAnsi="Times New Roman"/>
          <w:sz w:val="20"/>
        </w:rPr>
        <w:t xml:space="preserve"> new requirement, </w:t>
      </w:r>
      <w:r w:rsidR="003D799A">
        <w:rPr>
          <w:rFonts w:ascii="Times New Roman" w:hAnsi="Times New Roman"/>
          <w:sz w:val="20"/>
        </w:rPr>
        <w:t>called</w:t>
      </w:r>
      <w:r w:rsidR="003D799A" w:rsidRPr="002E617B">
        <w:rPr>
          <w:rFonts w:ascii="Times New Roman" w:hAnsi="Times New Roman"/>
          <w:sz w:val="20"/>
        </w:rPr>
        <w:t xml:space="preserve"> </w:t>
      </w:r>
      <w:r w:rsidR="003D799A">
        <w:rPr>
          <w:rFonts w:ascii="Times New Roman" w:hAnsi="Times New Roman"/>
          <w:sz w:val="20"/>
        </w:rPr>
        <w:t>edTPA,</w:t>
      </w:r>
      <w:r w:rsidR="003D799A" w:rsidRPr="002E617B">
        <w:rPr>
          <w:rFonts w:ascii="Times New Roman" w:hAnsi="Times New Roman"/>
          <w:sz w:val="20"/>
        </w:rPr>
        <w:t xml:space="preserve"> is a </w:t>
      </w:r>
      <w:r w:rsidR="003D799A">
        <w:rPr>
          <w:rFonts w:ascii="Times New Roman" w:hAnsi="Times New Roman"/>
          <w:sz w:val="20"/>
        </w:rPr>
        <w:t>rigorous</w:t>
      </w:r>
      <w:r w:rsidR="003D799A" w:rsidRPr="002E617B">
        <w:rPr>
          <w:rFonts w:ascii="Times New Roman" w:hAnsi="Times New Roman"/>
          <w:sz w:val="20"/>
        </w:rPr>
        <w:t xml:space="preserve"> measure of a teacher candidate’s ability to demonstrate </w:t>
      </w:r>
      <w:r w:rsidR="003D799A">
        <w:rPr>
          <w:rFonts w:ascii="Times New Roman" w:hAnsi="Times New Roman"/>
          <w:sz w:val="20"/>
        </w:rPr>
        <w:t>key aspects of effective instruction</w:t>
      </w:r>
      <w:r w:rsidR="003D799A" w:rsidRPr="002E617B">
        <w:rPr>
          <w:rFonts w:ascii="Times New Roman" w:hAnsi="Times New Roman"/>
          <w:sz w:val="20"/>
        </w:rPr>
        <w:t xml:space="preserve">.  </w:t>
      </w:r>
      <w:r w:rsidR="003D799A" w:rsidRPr="00644312">
        <w:rPr>
          <w:rFonts w:ascii="Times New Roman" w:hAnsi="Times New Roman"/>
          <w:sz w:val="20"/>
        </w:rPr>
        <w:t>Candidates, among other requirements, must submit a portfolio of “records of practice” including lesson plans, student work samples, candidate commentary and video samples.</w:t>
      </w:r>
      <w:r w:rsidR="003D799A">
        <w:rPr>
          <w:rFonts w:ascii="Times New Roman" w:hAnsi="Times New Roman"/>
          <w:sz w:val="20"/>
        </w:rPr>
        <w:t xml:space="preserve"> D</w:t>
      </w:r>
      <w:r w:rsidR="003D799A" w:rsidRPr="002E617B">
        <w:rPr>
          <w:rFonts w:ascii="Times New Roman" w:hAnsi="Times New Roman"/>
          <w:sz w:val="20"/>
        </w:rPr>
        <w:t>eveloped by the Stanford Center for Assessment, Learning, and Equity (SCALE) with the support of the American Association of Colleges of Teacher Education (AACTE) and educators from across the country</w:t>
      </w:r>
      <w:r w:rsidR="003D799A">
        <w:rPr>
          <w:rFonts w:ascii="Times New Roman" w:hAnsi="Times New Roman"/>
          <w:sz w:val="20"/>
        </w:rPr>
        <w:t xml:space="preserve">, edTPA </w:t>
      </w:r>
      <w:r w:rsidR="003D799A" w:rsidRPr="002E617B">
        <w:rPr>
          <w:rFonts w:ascii="Times New Roman" w:hAnsi="Times New Roman"/>
          <w:sz w:val="20"/>
        </w:rPr>
        <w:t xml:space="preserve">is a nationally available assessment with </w:t>
      </w:r>
      <w:r w:rsidR="003D799A">
        <w:rPr>
          <w:rFonts w:ascii="Times New Roman" w:hAnsi="Times New Roman"/>
          <w:sz w:val="20"/>
        </w:rPr>
        <w:t>12</w:t>
      </w:r>
      <w:r w:rsidR="003D799A" w:rsidRPr="002E617B">
        <w:rPr>
          <w:rFonts w:ascii="Times New Roman" w:hAnsi="Times New Roman"/>
          <w:sz w:val="20"/>
        </w:rPr>
        <w:t xml:space="preserve"> states </w:t>
      </w:r>
      <w:r w:rsidR="003D799A">
        <w:rPr>
          <w:rFonts w:ascii="Times New Roman" w:hAnsi="Times New Roman"/>
          <w:sz w:val="20"/>
        </w:rPr>
        <w:t>requiring it for licensure and program review</w:t>
      </w:r>
      <w:r w:rsidR="003D799A" w:rsidRPr="002E617B">
        <w:rPr>
          <w:rFonts w:ascii="Times New Roman" w:hAnsi="Times New Roman"/>
          <w:sz w:val="20"/>
        </w:rPr>
        <w:t>.</w:t>
      </w:r>
      <w:r w:rsidR="003D799A">
        <w:rPr>
          <w:rFonts w:ascii="Times New Roman" w:hAnsi="Times New Roman"/>
          <w:sz w:val="20"/>
        </w:rPr>
        <w:t xml:space="preserve">  Hundreds of campuses in nearly 25 states are implementing the assessment and is both a significant development in teacher education and a means of providing program feedback to stakeholders.</w:t>
      </w:r>
    </w:p>
    <w:p w14:paraId="5CF17107" w14:textId="77777777" w:rsidR="003D799A" w:rsidRDefault="003D799A" w:rsidP="003D799A">
      <w:pPr>
        <w:rPr>
          <w:rFonts w:ascii="Times New Roman" w:hAnsi="Times New Roman"/>
          <w:sz w:val="20"/>
        </w:rPr>
      </w:pPr>
    </w:p>
    <w:p w14:paraId="358A0A29" w14:textId="267813D3" w:rsidR="003D799A" w:rsidRDefault="003D799A" w:rsidP="003D799A">
      <w:pPr>
        <w:rPr>
          <w:rFonts w:ascii="Times New Roman" w:hAnsi="Times New Roman"/>
          <w:sz w:val="20"/>
        </w:rPr>
      </w:pPr>
      <w:r w:rsidRPr="00965680">
        <w:rPr>
          <w:rFonts w:ascii="Times New Roman" w:hAnsi="Times New Roman"/>
          <w:sz w:val="20"/>
        </w:rPr>
        <w:t xml:space="preserve">Implementation of edTPA has a broad impact at Illinois State University, as 20-25 percent of all graduates annually are in teacher education.  In addition to the College of Education, teacher candidates are also prepared in the College of Applied Science and Technology, College of Arts and Sciences, College of Business, and College of Fine Arts in 28 programs.  Their preparation involves over 11,000 pre-student teaching clinical placements where future teachers begin the practice of teaching and receive feedback on their performance preparing them for edTPA’s requirements. Illinois State faculty and staff who prepare teachers need to be well versed in edTPA’s requirements and require essential support for continued professional development and information on </w:t>
      </w:r>
      <w:r w:rsidR="00F96BFB">
        <w:rPr>
          <w:rFonts w:ascii="Times New Roman" w:hAnsi="Times New Roman"/>
          <w:sz w:val="20"/>
        </w:rPr>
        <w:t xml:space="preserve">candidate portfolio submission </w:t>
      </w:r>
      <w:r w:rsidRPr="00965680">
        <w:rPr>
          <w:rFonts w:ascii="Times New Roman" w:hAnsi="Times New Roman"/>
          <w:sz w:val="20"/>
        </w:rPr>
        <w:t xml:space="preserve">responsibilities.  </w:t>
      </w:r>
    </w:p>
    <w:p w14:paraId="0BB4A0F6" w14:textId="77777777" w:rsidR="003D799A" w:rsidRDefault="003D799A" w:rsidP="003D799A">
      <w:pPr>
        <w:rPr>
          <w:rFonts w:ascii="Times New Roman" w:hAnsi="Times New Roman"/>
          <w:sz w:val="20"/>
        </w:rPr>
      </w:pPr>
    </w:p>
    <w:p w14:paraId="2B8FBD95" w14:textId="51FDC226" w:rsidR="003D799A" w:rsidRPr="002E617B" w:rsidRDefault="00F96BFB" w:rsidP="003D799A">
      <w:pPr>
        <w:rPr>
          <w:rFonts w:ascii="Times New Roman" w:hAnsi="Times New Roman"/>
          <w:sz w:val="20"/>
        </w:rPr>
      </w:pPr>
      <w:r>
        <w:rPr>
          <w:rFonts w:ascii="Times New Roman" w:hAnsi="Times New Roman"/>
          <w:sz w:val="20"/>
        </w:rPr>
        <w:t>Additionally, Illinois State University f</w:t>
      </w:r>
      <w:r w:rsidR="003D799A" w:rsidRPr="002E617B">
        <w:rPr>
          <w:rFonts w:ascii="Times New Roman" w:hAnsi="Times New Roman"/>
          <w:sz w:val="20"/>
        </w:rPr>
        <w:t>aculty and st</w:t>
      </w:r>
      <w:r>
        <w:rPr>
          <w:rFonts w:ascii="Times New Roman" w:hAnsi="Times New Roman"/>
          <w:sz w:val="20"/>
        </w:rPr>
        <w:t xml:space="preserve">aff </w:t>
      </w:r>
      <w:r w:rsidR="003D799A">
        <w:rPr>
          <w:rFonts w:ascii="Times New Roman" w:hAnsi="Times New Roman"/>
          <w:sz w:val="20"/>
        </w:rPr>
        <w:t>are taking</w:t>
      </w:r>
      <w:r w:rsidR="003D799A" w:rsidRPr="002E617B">
        <w:rPr>
          <w:rFonts w:ascii="Times New Roman" w:hAnsi="Times New Roman"/>
          <w:sz w:val="20"/>
        </w:rPr>
        <w:t xml:space="preserve"> on </w:t>
      </w:r>
      <w:r w:rsidR="003D799A">
        <w:rPr>
          <w:rFonts w:ascii="Times New Roman" w:hAnsi="Times New Roman"/>
          <w:sz w:val="20"/>
        </w:rPr>
        <w:t xml:space="preserve">leadership </w:t>
      </w:r>
      <w:r w:rsidR="003D799A" w:rsidRPr="002E617B">
        <w:rPr>
          <w:rFonts w:ascii="Times New Roman" w:hAnsi="Times New Roman"/>
          <w:sz w:val="20"/>
        </w:rPr>
        <w:t>roles in the development and implementation of this assessment.  On th</w:t>
      </w:r>
      <w:r w:rsidR="00C609B9">
        <w:rPr>
          <w:rFonts w:ascii="Times New Roman" w:hAnsi="Times New Roman"/>
          <w:sz w:val="20"/>
        </w:rPr>
        <w:t>e state level, they provide</w:t>
      </w:r>
      <w:r w:rsidR="003D799A" w:rsidRPr="002E617B">
        <w:rPr>
          <w:rFonts w:ascii="Times New Roman" w:hAnsi="Times New Roman"/>
          <w:sz w:val="20"/>
        </w:rPr>
        <w:t xml:space="preserve"> leadership on a statewide steering committee at the request of the Illinois State Board of Education (ISBE), </w:t>
      </w:r>
      <w:r w:rsidR="003D799A">
        <w:rPr>
          <w:rFonts w:ascii="Times New Roman" w:hAnsi="Times New Roman"/>
          <w:sz w:val="20"/>
        </w:rPr>
        <w:t xml:space="preserve">by </w:t>
      </w:r>
      <w:r w:rsidR="00C609B9">
        <w:rPr>
          <w:rFonts w:ascii="Times New Roman" w:hAnsi="Times New Roman"/>
          <w:sz w:val="20"/>
        </w:rPr>
        <w:t>affording</w:t>
      </w:r>
      <w:r w:rsidR="003D799A" w:rsidRPr="002E617B">
        <w:rPr>
          <w:rFonts w:ascii="Times New Roman" w:hAnsi="Times New Roman"/>
          <w:sz w:val="20"/>
        </w:rPr>
        <w:t xml:space="preserve"> </w:t>
      </w:r>
      <w:r w:rsidR="003D799A">
        <w:rPr>
          <w:rFonts w:ascii="Times New Roman" w:hAnsi="Times New Roman"/>
          <w:sz w:val="20"/>
        </w:rPr>
        <w:t xml:space="preserve">faculty </w:t>
      </w:r>
      <w:r w:rsidR="003D799A" w:rsidRPr="002E617B">
        <w:rPr>
          <w:rFonts w:ascii="Times New Roman" w:hAnsi="Times New Roman"/>
          <w:sz w:val="20"/>
        </w:rPr>
        <w:t xml:space="preserve">professional development </w:t>
      </w:r>
      <w:r w:rsidR="003D799A">
        <w:rPr>
          <w:rFonts w:ascii="Times New Roman" w:hAnsi="Times New Roman"/>
          <w:sz w:val="20"/>
        </w:rPr>
        <w:t>to</w:t>
      </w:r>
      <w:r w:rsidR="003D799A" w:rsidRPr="002E617B">
        <w:rPr>
          <w:rFonts w:ascii="Times New Roman" w:hAnsi="Times New Roman"/>
          <w:sz w:val="20"/>
        </w:rPr>
        <w:t xml:space="preserve"> other institutions preparing for implementation and </w:t>
      </w:r>
      <w:r w:rsidR="00C609B9">
        <w:rPr>
          <w:rFonts w:ascii="Times New Roman" w:hAnsi="Times New Roman"/>
          <w:sz w:val="20"/>
        </w:rPr>
        <w:t>sharing</w:t>
      </w:r>
      <w:r w:rsidR="003D799A" w:rsidRPr="002E617B">
        <w:rPr>
          <w:rFonts w:ascii="Times New Roman" w:hAnsi="Times New Roman"/>
          <w:sz w:val="20"/>
        </w:rPr>
        <w:t xml:space="preserve"> resources </w:t>
      </w:r>
      <w:r w:rsidR="003D799A">
        <w:rPr>
          <w:rFonts w:ascii="Times New Roman" w:hAnsi="Times New Roman"/>
          <w:sz w:val="20"/>
        </w:rPr>
        <w:t xml:space="preserve">to </w:t>
      </w:r>
      <w:r w:rsidR="003D799A" w:rsidRPr="002E617B">
        <w:rPr>
          <w:rFonts w:ascii="Times New Roman" w:hAnsi="Times New Roman"/>
          <w:sz w:val="20"/>
        </w:rPr>
        <w:t xml:space="preserve">support </w:t>
      </w:r>
      <w:r w:rsidR="003D799A">
        <w:rPr>
          <w:rFonts w:ascii="Times New Roman" w:hAnsi="Times New Roman"/>
          <w:sz w:val="20"/>
        </w:rPr>
        <w:t xml:space="preserve">their </w:t>
      </w:r>
      <w:r w:rsidR="003D799A" w:rsidRPr="002E617B">
        <w:rPr>
          <w:rFonts w:ascii="Times New Roman" w:hAnsi="Times New Roman"/>
          <w:sz w:val="20"/>
        </w:rPr>
        <w:t>candidates and faculty.  Nationally, faculty and staff</w:t>
      </w:r>
      <w:r w:rsidR="00C609B9">
        <w:rPr>
          <w:rFonts w:ascii="Times New Roman" w:hAnsi="Times New Roman"/>
          <w:sz w:val="20"/>
        </w:rPr>
        <w:t xml:space="preserve"> are</w:t>
      </w:r>
      <w:r w:rsidR="003D799A" w:rsidRPr="002E617B">
        <w:rPr>
          <w:rFonts w:ascii="Times New Roman" w:hAnsi="Times New Roman"/>
          <w:sz w:val="20"/>
        </w:rPr>
        <w:t xml:space="preserve"> participat</w:t>
      </w:r>
      <w:r w:rsidR="003D799A">
        <w:rPr>
          <w:rFonts w:ascii="Times New Roman" w:hAnsi="Times New Roman"/>
          <w:sz w:val="20"/>
        </w:rPr>
        <w:t>ing</w:t>
      </w:r>
      <w:r w:rsidR="003D799A" w:rsidRPr="002E617B">
        <w:rPr>
          <w:rFonts w:ascii="Times New Roman" w:hAnsi="Times New Roman"/>
          <w:sz w:val="20"/>
        </w:rPr>
        <w:t xml:space="preserve"> on design teams making revisions to the assessment, scor</w:t>
      </w:r>
      <w:r w:rsidR="003D799A">
        <w:rPr>
          <w:rFonts w:ascii="Times New Roman" w:hAnsi="Times New Roman"/>
          <w:sz w:val="20"/>
        </w:rPr>
        <w:t>ing</w:t>
      </w:r>
      <w:r w:rsidR="003D799A" w:rsidRPr="002E617B">
        <w:rPr>
          <w:rFonts w:ascii="Times New Roman" w:hAnsi="Times New Roman"/>
          <w:sz w:val="20"/>
        </w:rPr>
        <w:t xml:space="preserve"> portfolios submitted in the national field test, develop</w:t>
      </w:r>
      <w:r w:rsidR="003D799A">
        <w:rPr>
          <w:rFonts w:ascii="Times New Roman" w:hAnsi="Times New Roman"/>
          <w:sz w:val="20"/>
        </w:rPr>
        <w:t>ing</w:t>
      </w:r>
      <w:r w:rsidR="003D799A" w:rsidRPr="002E617B">
        <w:rPr>
          <w:rFonts w:ascii="Times New Roman" w:hAnsi="Times New Roman"/>
          <w:sz w:val="20"/>
        </w:rPr>
        <w:t xml:space="preserve"> resources for national distribution through SCALE</w:t>
      </w:r>
      <w:r w:rsidR="003D799A">
        <w:rPr>
          <w:rFonts w:ascii="Times New Roman" w:hAnsi="Times New Roman"/>
          <w:sz w:val="20"/>
        </w:rPr>
        <w:t xml:space="preserve"> and AACTE</w:t>
      </w:r>
      <w:r w:rsidR="003D799A" w:rsidRPr="002E617B">
        <w:rPr>
          <w:rFonts w:ascii="Times New Roman" w:hAnsi="Times New Roman"/>
          <w:sz w:val="20"/>
        </w:rPr>
        <w:t>, and provid</w:t>
      </w:r>
      <w:r w:rsidR="003D799A">
        <w:rPr>
          <w:rFonts w:ascii="Times New Roman" w:hAnsi="Times New Roman"/>
          <w:sz w:val="20"/>
        </w:rPr>
        <w:t>ing</w:t>
      </w:r>
      <w:r w:rsidR="003D799A" w:rsidRPr="002E617B">
        <w:rPr>
          <w:rFonts w:ascii="Times New Roman" w:hAnsi="Times New Roman"/>
          <w:sz w:val="20"/>
        </w:rPr>
        <w:t xml:space="preserve"> professional development workshops and sessions at national conferences</w:t>
      </w:r>
      <w:r w:rsidR="003D799A">
        <w:rPr>
          <w:rFonts w:ascii="Times New Roman" w:hAnsi="Times New Roman"/>
          <w:sz w:val="20"/>
        </w:rPr>
        <w:t xml:space="preserve"> and campuses throughout the country</w:t>
      </w:r>
      <w:r w:rsidR="003D799A" w:rsidRPr="002E617B">
        <w:rPr>
          <w:rFonts w:ascii="Times New Roman" w:hAnsi="Times New Roman"/>
          <w:sz w:val="20"/>
        </w:rPr>
        <w:t>.</w:t>
      </w:r>
      <w:r w:rsidR="003D799A">
        <w:rPr>
          <w:rFonts w:ascii="Times New Roman" w:hAnsi="Times New Roman"/>
          <w:sz w:val="20"/>
        </w:rPr>
        <w:t xml:space="preserve">  Almost 150 teacher preparation programs are using materials developed by Illinois State University to implement the edTPA and provide support to their candidates.</w:t>
      </w:r>
    </w:p>
    <w:p w14:paraId="4468CA28" w14:textId="77777777" w:rsidR="003D799A" w:rsidRDefault="003D799A" w:rsidP="003D799A">
      <w:pPr>
        <w:rPr>
          <w:rFonts w:ascii="Times New Roman" w:hAnsi="Times New Roman"/>
          <w:sz w:val="20"/>
        </w:rPr>
      </w:pPr>
    </w:p>
    <w:p w14:paraId="1FF2D9C1" w14:textId="40421B4F" w:rsidR="008B1DF3" w:rsidRPr="00313ED2" w:rsidRDefault="003D799A" w:rsidP="00313ED2">
      <w:pPr>
        <w:rPr>
          <w:rFonts w:ascii="Times New Roman" w:hAnsi="Times New Roman"/>
          <w:sz w:val="20"/>
        </w:rPr>
      </w:pPr>
      <w:r w:rsidRPr="00366D02">
        <w:rPr>
          <w:rFonts w:ascii="Times New Roman" w:hAnsi="Times New Roman"/>
          <w:sz w:val="20"/>
        </w:rPr>
        <w:t xml:space="preserve">Funding of $450,000 is requested to meet the professional development needs of faculty and staff, provide for additional support for teacher education candidates, and to submit portfolios for official scoring.  </w:t>
      </w:r>
      <w:r w:rsidR="008B2E29" w:rsidRPr="008B2E29">
        <w:rPr>
          <w:rFonts w:ascii="Times New Roman" w:hAnsi="Times New Roman"/>
          <w:sz w:val="20"/>
        </w:rPr>
        <w:t>There are about 1,000 teachers at the University who will be submitting portfolios annually at full implementation of edTPA and will need support as they prepare to meet the re</w:t>
      </w:r>
      <w:r w:rsidR="008B2E29">
        <w:rPr>
          <w:rFonts w:ascii="Times New Roman" w:hAnsi="Times New Roman"/>
          <w:sz w:val="20"/>
        </w:rPr>
        <w:t>quirements of this assessment</w:t>
      </w:r>
      <w:r w:rsidR="008B2E29" w:rsidRPr="008B2E29">
        <w:rPr>
          <w:rFonts w:ascii="Times New Roman" w:hAnsi="Times New Roman"/>
          <w:sz w:val="20"/>
        </w:rPr>
        <w:t>-for both program completion and licensure.</w:t>
      </w:r>
      <w:r w:rsidR="008B2E29">
        <w:rPr>
          <w:rFonts w:ascii="Times New Roman" w:hAnsi="Times New Roman"/>
          <w:sz w:val="20"/>
        </w:rPr>
        <w:t xml:space="preserve"> </w:t>
      </w:r>
      <w:r w:rsidRPr="00366D02">
        <w:rPr>
          <w:rFonts w:ascii="Times New Roman" w:hAnsi="Times New Roman"/>
          <w:sz w:val="20"/>
        </w:rPr>
        <w:t xml:space="preserve">This funding will allow students and programs to gain independent feedback on their performance on the edTPA without any </w:t>
      </w:r>
      <w:r w:rsidRPr="00366D02">
        <w:rPr>
          <w:rFonts w:ascii="Times New Roman" w:hAnsi="Times New Roman"/>
          <w:sz w:val="20"/>
        </w:rPr>
        <w:lastRenderedPageBreak/>
        <w:t xml:space="preserve">additional financial burden placed on students.  The University will </w:t>
      </w:r>
      <w:r w:rsidR="008B2E29">
        <w:rPr>
          <w:rFonts w:ascii="Times New Roman" w:hAnsi="Times New Roman"/>
          <w:sz w:val="20"/>
        </w:rPr>
        <w:t xml:space="preserve">also </w:t>
      </w:r>
      <w:r w:rsidRPr="00366D02">
        <w:rPr>
          <w:rFonts w:ascii="Times New Roman" w:hAnsi="Times New Roman"/>
          <w:sz w:val="20"/>
        </w:rPr>
        <w:t>use these results to guide improvements and updates to programs in order to ensure candidate success and continue its widespread dissemination of our edTPA efforts and innovations.</w:t>
      </w:r>
    </w:p>
    <w:p w14:paraId="79CFA81B" w14:textId="2E70FD75" w:rsidR="00DB2A46" w:rsidRPr="00DB2A46" w:rsidRDefault="00DB2A46" w:rsidP="00535CD2">
      <w:pPr>
        <w:pStyle w:val="BodyText2"/>
        <w:ind w:right="544"/>
        <w:rPr>
          <w:color w:val="000000"/>
          <w:u w:val="single"/>
        </w:rPr>
      </w:pPr>
      <w:r w:rsidRPr="00DB2A46">
        <w:rPr>
          <w:color w:val="000000"/>
          <w:u w:val="single"/>
        </w:rPr>
        <w:t>Increases</w:t>
      </w:r>
    </w:p>
    <w:p w14:paraId="7B076433" w14:textId="6B4B565F" w:rsidR="009E19BB" w:rsidRDefault="00760E11" w:rsidP="00535CD2">
      <w:pPr>
        <w:pStyle w:val="BodyText2"/>
        <w:ind w:right="544"/>
        <w:rPr>
          <w:color w:val="000000"/>
        </w:rPr>
      </w:pPr>
      <w:r w:rsidRPr="00C137CE">
        <w:rPr>
          <w:color w:val="000000"/>
        </w:rPr>
        <w:t xml:space="preserve">Consistent with the goals outlined in </w:t>
      </w:r>
      <w:r w:rsidRPr="00C137CE">
        <w:rPr>
          <w:i/>
          <w:color w:val="000000"/>
        </w:rPr>
        <w:t xml:space="preserve">Educating Illinois, </w:t>
      </w:r>
      <w:r w:rsidR="00E11941">
        <w:rPr>
          <w:color w:val="000000"/>
        </w:rPr>
        <w:t xml:space="preserve">the University is committed to enhancing salaries in order to </w:t>
      </w:r>
      <w:r w:rsidRPr="00C137CE">
        <w:rPr>
          <w:color w:val="000000"/>
        </w:rPr>
        <w:t>improve facult</w:t>
      </w:r>
      <w:r w:rsidR="00942279">
        <w:rPr>
          <w:color w:val="000000"/>
        </w:rPr>
        <w:t xml:space="preserve">y salary competitiveness and </w:t>
      </w:r>
      <w:r w:rsidRPr="00C137CE">
        <w:rPr>
          <w:color w:val="000000"/>
        </w:rPr>
        <w:t xml:space="preserve">attract and retain vibrant faculty and staff.  </w:t>
      </w:r>
      <w:r w:rsidRPr="00C137CE">
        <w:rPr>
          <w:color w:val="auto"/>
        </w:rPr>
        <w:t>Therefore</w:t>
      </w:r>
      <w:r w:rsidRPr="001A287E">
        <w:rPr>
          <w:color w:val="auto"/>
        </w:rPr>
        <w:t xml:space="preserve">, </w:t>
      </w:r>
      <w:r w:rsidR="000004A5" w:rsidRPr="00172F4D">
        <w:rPr>
          <w:color w:val="auto"/>
        </w:rPr>
        <w:t>$4.9</w:t>
      </w:r>
      <w:r w:rsidRPr="002A18F2">
        <w:rPr>
          <w:color w:val="auto"/>
          <w:highlight w:val="yellow"/>
        </w:rPr>
        <w:t xml:space="preserve"> </w:t>
      </w:r>
      <w:r w:rsidRPr="00172F4D">
        <w:rPr>
          <w:color w:val="auto"/>
        </w:rPr>
        <w:t>million</w:t>
      </w:r>
      <w:r w:rsidRPr="00172F4D">
        <w:rPr>
          <w:color w:val="000000"/>
        </w:rPr>
        <w:t xml:space="preserve"> is reques</w:t>
      </w:r>
      <w:r w:rsidR="00122611" w:rsidRPr="00172F4D">
        <w:rPr>
          <w:color w:val="000000"/>
        </w:rPr>
        <w:t>ted for faculty and staff compensation</w:t>
      </w:r>
      <w:r w:rsidRPr="00172F4D">
        <w:rPr>
          <w:color w:val="000000"/>
        </w:rPr>
        <w:t xml:space="preserve"> increases. This amount </w:t>
      </w:r>
      <w:r w:rsidR="0012670C" w:rsidRPr="00172F4D">
        <w:rPr>
          <w:color w:val="auto"/>
        </w:rPr>
        <w:t>is 3</w:t>
      </w:r>
      <w:r w:rsidRPr="00172F4D">
        <w:rPr>
          <w:color w:val="auto"/>
        </w:rPr>
        <w:t>.0</w:t>
      </w:r>
      <w:r w:rsidRPr="00172F4D">
        <w:t xml:space="preserve"> </w:t>
      </w:r>
      <w:r w:rsidR="00E11941" w:rsidRPr="00172F4D">
        <w:rPr>
          <w:color w:val="000000"/>
        </w:rPr>
        <w:t>percent of the general</w:t>
      </w:r>
      <w:r w:rsidR="00E11941">
        <w:rPr>
          <w:color w:val="000000"/>
        </w:rPr>
        <w:t xml:space="preserve"> revenue </w:t>
      </w:r>
      <w:r w:rsidRPr="00C137CE">
        <w:rPr>
          <w:color w:val="000000"/>
        </w:rPr>
        <w:t>personal services base</w:t>
      </w:r>
      <w:r w:rsidR="00824392" w:rsidRPr="00C137CE">
        <w:rPr>
          <w:color w:val="000000"/>
        </w:rPr>
        <w:t>.</w:t>
      </w:r>
    </w:p>
    <w:p w14:paraId="659BF761" w14:textId="6063DCCD" w:rsidR="009553B9" w:rsidRDefault="00A95DC8" w:rsidP="00535CD2">
      <w:pPr>
        <w:pStyle w:val="BodyText2"/>
        <w:ind w:right="544"/>
        <w:rPr>
          <w:color w:val="000000"/>
        </w:rPr>
      </w:pPr>
      <w:r w:rsidRPr="00C137CE">
        <w:rPr>
          <w:color w:val="000000"/>
        </w:rPr>
        <w:t>Illinois State University</w:t>
      </w:r>
      <w:r w:rsidR="00A771CE">
        <w:rPr>
          <w:color w:val="000000"/>
        </w:rPr>
        <w:t>’s</w:t>
      </w:r>
      <w:r w:rsidRPr="00C137CE">
        <w:rPr>
          <w:color w:val="000000"/>
        </w:rPr>
        <w:t xml:space="preserve"> deferred mainte</w:t>
      </w:r>
      <w:r w:rsidR="00DB2A46">
        <w:rPr>
          <w:color w:val="000000"/>
        </w:rPr>
        <w:t>nance needs continue to be significant</w:t>
      </w:r>
      <w:r w:rsidRPr="00C137CE">
        <w:rPr>
          <w:color w:val="000000"/>
        </w:rPr>
        <w:t xml:space="preserve">.  </w:t>
      </w:r>
      <w:r w:rsidR="00F854C8" w:rsidRPr="00C137CE">
        <w:rPr>
          <w:color w:val="000000"/>
        </w:rPr>
        <w:t>The FY</w:t>
      </w:r>
      <w:r w:rsidR="008F31EA" w:rsidRPr="00C137CE">
        <w:rPr>
          <w:color w:val="000000"/>
        </w:rPr>
        <w:t>20</w:t>
      </w:r>
      <w:r w:rsidR="000004A5">
        <w:rPr>
          <w:color w:val="000000"/>
        </w:rPr>
        <w:t>1</w:t>
      </w:r>
      <w:r w:rsidR="00252F3A">
        <w:rPr>
          <w:color w:val="000000"/>
        </w:rPr>
        <w:t>6</w:t>
      </w:r>
      <w:r w:rsidR="00F854C8" w:rsidRPr="00C137CE">
        <w:rPr>
          <w:color w:val="000000"/>
        </w:rPr>
        <w:t xml:space="preserve"> Capital Request addresses some of the larger rehabilitation needs, but there are numerous smaller projects for which </w:t>
      </w:r>
      <w:r w:rsidR="00312A72" w:rsidRPr="00C137CE">
        <w:rPr>
          <w:color w:val="000000"/>
        </w:rPr>
        <w:t>resources are needed.  The FY</w:t>
      </w:r>
      <w:r w:rsidR="008F31EA" w:rsidRPr="00C137CE">
        <w:rPr>
          <w:color w:val="000000"/>
        </w:rPr>
        <w:t>20</w:t>
      </w:r>
      <w:r w:rsidR="000004A5">
        <w:rPr>
          <w:color w:val="000000"/>
        </w:rPr>
        <w:t>1</w:t>
      </w:r>
      <w:r w:rsidR="00252F3A">
        <w:rPr>
          <w:color w:val="000000"/>
        </w:rPr>
        <w:t>6</w:t>
      </w:r>
      <w:r w:rsidR="002B75C5">
        <w:rPr>
          <w:color w:val="000000"/>
        </w:rPr>
        <w:t xml:space="preserve"> </w:t>
      </w:r>
      <w:r w:rsidR="00312A72" w:rsidRPr="00C137CE">
        <w:rPr>
          <w:color w:val="000000"/>
        </w:rPr>
        <w:t xml:space="preserve">request </w:t>
      </w:r>
      <w:r w:rsidR="00111322" w:rsidRPr="001A287E">
        <w:rPr>
          <w:color w:val="000000"/>
        </w:rPr>
        <w:t>includes $2</w:t>
      </w:r>
      <w:r w:rsidR="008C12FD" w:rsidRPr="001A287E">
        <w:rPr>
          <w:color w:val="000000"/>
        </w:rPr>
        <w:t>.5</w:t>
      </w:r>
      <w:r w:rsidR="00312A72" w:rsidRPr="001A287E">
        <w:rPr>
          <w:color w:val="000000"/>
        </w:rPr>
        <w:t xml:space="preserve"> million</w:t>
      </w:r>
      <w:r w:rsidR="00312A72" w:rsidRPr="00C137CE">
        <w:rPr>
          <w:color w:val="000000"/>
        </w:rPr>
        <w:t xml:space="preserve"> in deferred maintenance funds</w:t>
      </w:r>
      <w:r w:rsidR="00A771CE">
        <w:rPr>
          <w:color w:val="000000"/>
        </w:rPr>
        <w:t>,</w:t>
      </w:r>
      <w:r w:rsidR="00312A72" w:rsidRPr="00C137CE">
        <w:rPr>
          <w:color w:val="000000"/>
        </w:rPr>
        <w:t xml:space="preserve"> </w:t>
      </w:r>
      <w:r w:rsidR="00312A72" w:rsidRPr="001A287E">
        <w:rPr>
          <w:color w:val="000000"/>
        </w:rPr>
        <w:t xml:space="preserve">which is </w:t>
      </w:r>
      <w:r w:rsidR="00232535" w:rsidRPr="001A287E">
        <w:rPr>
          <w:color w:val="000000"/>
        </w:rPr>
        <w:t>approximately</w:t>
      </w:r>
      <w:r w:rsidR="00312A72" w:rsidRPr="001A287E">
        <w:rPr>
          <w:color w:val="000000"/>
        </w:rPr>
        <w:t xml:space="preserve"> </w:t>
      </w:r>
      <w:r w:rsidR="0025324E" w:rsidRPr="001A287E">
        <w:rPr>
          <w:color w:val="000000"/>
        </w:rPr>
        <w:t xml:space="preserve">1.0 </w:t>
      </w:r>
      <w:r w:rsidR="00312A72" w:rsidRPr="001A287E">
        <w:rPr>
          <w:color w:val="000000"/>
        </w:rPr>
        <w:t>percent</w:t>
      </w:r>
      <w:r w:rsidR="00312A72" w:rsidRPr="00C137CE">
        <w:rPr>
          <w:color w:val="000000"/>
        </w:rPr>
        <w:t xml:space="preserve"> of the</w:t>
      </w:r>
      <w:r w:rsidR="00111322" w:rsidRPr="00C137CE">
        <w:rPr>
          <w:color w:val="000000"/>
        </w:rPr>
        <w:t xml:space="preserve"> general revenue deferred maintenance backlog</w:t>
      </w:r>
      <w:r w:rsidR="00312A72" w:rsidRPr="00C137CE">
        <w:rPr>
          <w:color w:val="000000"/>
        </w:rPr>
        <w:t>.</w:t>
      </w:r>
    </w:p>
    <w:p w14:paraId="6872D9E6" w14:textId="6495DA1C" w:rsidR="004A0FCD" w:rsidRDefault="009064B4" w:rsidP="00D63018">
      <w:pPr>
        <w:pStyle w:val="indent"/>
        <w:spacing w:before="240"/>
        <w:ind w:left="0" w:right="544"/>
      </w:pPr>
      <w:r>
        <w:t>Table 1</w:t>
      </w:r>
      <w:r w:rsidR="00760E11" w:rsidRPr="00855809">
        <w:t xml:space="preserve"> below summarizes the </w:t>
      </w:r>
      <w:r w:rsidR="00942279">
        <w:t>University's propo</w:t>
      </w:r>
      <w:r w:rsidR="00AC6FE6">
        <w:t>sed appropriated operating budget</w:t>
      </w:r>
      <w:r w:rsidR="00760E11" w:rsidRPr="00855809">
        <w:t xml:space="preserve"> request</w:t>
      </w:r>
      <w:r w:rsidR="00BB4331">
        <w:t xml:space="preserve"> for </w:t>
      </w:r>
      <w:r w:rsidR="00AC6FE6">
        <w:t>FY2016. T</w:t>
      </w:r>
      <w:r w:rsidR="004A0FCD">
        <w:t>his budget request is a responsible and reasonable statement of the University’s highest priorities and goals</w:t>
      </w:r>
      <w:r w:rsidR="00AC6FE6">
        <w:t>.</w:t>
      </w:r>
    </w:p>
    <w:p w14:paraId="59275539" w14:textId="77777777" w:rsidR="002544D6" w:rsidRPr="00D63018" w:rsidRDefault="002544D6" w:rsidP="00D63018">
      <w:pPr>
        <w:pStyle w:val="indent"/>
        <w:spacing w:before="240"/>
        <w:ind w:left="0" w:right="544"/>
      </w:pPr>
    </w:p>
    <w:p w14:paraId="54FD5AE6" w14:textId="77777777" w:rsidR="00A771CE" w:rsidRPr="00A771CE" w:rsidRDefault="00760E11" w:rsidP="00535CD2">
      <w:pPr>
        <w:pStyle w:val="BodyText2"/>
        <w:ind w:right="544"/>
        <w:jc w:val="center"/>
        <w:rPr>
          <w:b/>
          <w:color w:val="000000"/>
          <w:u w:val="single"/>
        </w:rPr>
      </w:pPr>
      <w:r w:rsidRPr="00A771CE">
        <w:rPr>
          <w:b/>
          <w:color w:val="000000"/>
          <w:u w:val="single"/>
        </w:rPr>
        <w:t>Table 1</w:t>
      </w:r>
    </w:p>
    <w:p w14:paraId="169518AD" w14:textId="65D870F6" w:rsidR="00A771CE" w:rsidRPr="00A771CE" w:rsidRDefault="00A771CE" w:rsidP="00535CD2">
      <w:pPr>
        <w:pStyle w:val="indent"/>
        <w:ind w:left="0" w:right="544"/>
        <w:jc w:val="center"/>
        <w:rPr>
          <w:b/>
          <w:color w:val="000000"/>
          <w:u w:val="single"/>
        </w:rPr>
      </w:pPr>
      <w:r w:rsidRPr="00A771CE">
        <w:rPr>
          <w:b/>
          <w:color w:val="000000"/>
          <w:u w:val="single"/>
        </w:rPr>
        <w:t>Il</w:t>
      </w:r>
      <w:r w:rsidR="002B75C5">
        <w:rPr>
          <w:b/>
          <w:color w:val="000000"/>
          <w:u w:val="single"/>
        </w:rPr>
        <w:t xml:space="preserve">linois State University </w:t>
      </w:r>
      <w:r w:rsidR="000004A5">
        <w:rPr>
          <w:b/>
          <w:color w:val="000000"/>
          <w:u w:val="single"/>
        </w:rPr>
        <w:t>FY201</w:t>
      </w:r>
      <w:r w:rsidR="00252F3A">
        <w:rPr>
          <w:b/>
          <w:color w:val="000000"/>
          <w:u w:val="single"/>
        </w:rPr>
        <w:t>6</w:t>
      </w:r>
      <w:r w:rsidR="00E11941">
        <w:rPr>
          <w:b/>
          <w:color w:val="000000"/>
          <w:u w:val="single"/>
        </w:rPr>
        <w:t xml:space="preserve"> Appropriated </w:t>
      </w:r>
      <w:r w:rsidR="00AC6FE6">
        <w:rPr>
          <w:b/>
          <w:color w:val="000000"/>
          <w:u w:val="single"/>
        </w:rPr>
        <w:t>Operating Budget</w:t>
      </w:r>
      <w:r w:rsidRPr="00A771CE">
        <w:rPr>
          <w:b/>
          <w:color w:val="000000"/>
          <w:u w:val="single"/>
        </w:rPr>
        <w:t xml:space="preserve"> Request</w:t>
      </w:r>
    </w:p>
    <w:p w14:paraId="70E066A2" w14:textId="77777777" w:rsidR="00760E11" w:rsidRDefault="00A771CE" w:rsidP="00535CD2">
      <w:pPr>
        <w:pStyle w:val="indent"/>
        <w:ind w:left="0" w:right="544"/>
        <w:jc w:val="center"/>
        <w:rPr>
          <w:color w:val="000000"/>
        </w:rPr>
      </w:pPr>
      <w:r w:rsidRPr="003D5D88">
        <w:rPr>
          <w:color w:val="000000"/>
        </w:rPr>
        <w:t xml:space="preserve"> </w:t>
      </w:r>
      <w:r w:rsidR="00760E11" w:rsidRPr="003D5D88">
        <w:rPr>
          <w:color w:val="000000"/>
        </w:rPr>
        <w:t>(in thousands of dollars)</w:t>
      </w:r>
    </w:p>
    <w:p w14:paraId="6BCE411F" w14:textId="77777777" w:rsidR="00007BE2" w:rsidRPr="003D5D88" w:rsidRDefault="00007BE2" w:rsidP="00535CD2">
      <w:pPr>
        <w:pStyle w:val="indent"/>
        <w:ind w:left="0" w:right="544"/>
        <w:jc w:val="center"/>
        <w:rPr>
          <w:color w:val="000000"/>
        </w:rPr>
      </w:pPr>
    </w:p>
    <w:p w14:paraId="62A52E3B" w14:textId="2CB6E272" w:rsidR="00175BE7" w:rsidRPr="00D63018" w:rsidRDefault="005A65BC" w:rsidP="00D63018">
      <w:pPr>
        <w:pStyle w:val="Heading5"/>
        <w:tabs>
          <w:tab w:val="left" w:pos="1800"/>
          <w:tab w:val="decimal" w:pos="8010"/>
          <w:tab w:val="left" w:pos="8280"/>
          <w:tab w:val="right" w:pos="9990"/>
        </w:tabs>
        <w:ind w:right="544"/>
        <w:rPr>
          <w:rFonts w:ascii="Times New Roman" w:hAnsi="Times New Roman"/>
          <w:b w:val="0"/>
          <w:i w:val="0"/>
          <w:sz w:val="20"/>
          <w:szCs w:val="20"/>
        </w:rPr>
      </w:pPr>
      <w:r w:rsidRPr="00175BE7">
        <w:rPr>
          <w:rFonts w:ascii="Times New Roman" w:hAnsi="Times New Roman"/>
          <w:b w:val="0"/>
          <w:i w:val="0"/>
          <w:sz w:val="20"/>
          <w:szCs w:val="20"/>
        </w:rPr>
        <w:t>FY</w:t>
      </w:r>
      <w:r w:rsidR="008F31EA" w:rsidRPr="00175BE7">
        <w:rPr>
          <w:rFonts w:ascii="Times New Roman" w:hAnsi="Times New Roman"/>
          <w:b w:val="0"/>
          <w:i w:val="0"/>
          <w:sz w:val="20"/>
          <w:szCs w:val="20"/>
        </w:rPr>
        <w:t>20</w:t>
      </w:r>
      <w:r w:rsidR="000004A5">
        <w:rPr>
          <w:rFonts w:ascii="Times New Roman" w:hAnsi="Times New Roman"/>
          <w:b w:val="0"/>
          <w:i w:val="0"/>
          <w:sz w:val="20"/>
          <w:szCs w:val="20"/>
        </w:rPr>
        <w:t>1</w:t>
      </w:r>
      <w:r w:rsidR="00252F3A">
        <w:rPr>
          <w:rFonts w:ascii="Times New Roman" w:hAnsi="Times New Roman"/>
          <w:b w:val="0"/>
          <w:i w:val="0"/>
          <w:sz w:val="20"/>
          <w:szCs w:val="20"/>
        </w:rPr>
        <w:t>5</w:t>
      </w:r>
      <w:r w:rsidR="00122611">
        <w:rPr>
          <w:rFonts w:ascii="Times New Roman" w:hAnsi="Times New Roman"/>
          <w:b w:val="0"/>
          <w:i w:val="0"/>
          <w:sz w:val="20"/>
          <w:szCs w:val="20"/>
        </w:rPr>
        <w:t xml:space="preserve"> Appropriated Funds</w:t>
      </w:r>
      <w:r w:rsidR="00760E11" w:rsidRPr="00FC54A6">
        <w:rPr>
          <w:rFonts w:ascii="Times New Roman" w:hAnsi="Times New Roman"/>
          <w:b w:val="0"/>
          <w:i w:val="0"/>
          <w:sz w:val="20"/>
          <w:szCs w:val="20"/>
        </w:rPr>
        <w:tab/>
      </w:r>
      <w:r w:rsidR="00760E11" w:rsidRPr="001A287E">
        <w:rPr>
          <w:rFonts w:ascii="Times New Roman" w:hAnsi="Times New Roman"/>
          <w:b w:val="0"/>
          <w:i w:val="0"/>
          <w:sz w:val="20"/>
          <w:szCs w:val="20"/>
        </w:rPr>
        <w:t>$</w:t>
      </w:r>
      <w:r w:rsidR="00252F3A">
        <w:rPr>
          <w:rFonts w:ascii="Times New Roman" w:hAnsi="Times New Roman"/>
          <w:b w:val="0"/>
          <w:i w:val="0"/>
          <w:sz w:val="20"/>
          <w:szCs w:val="20"/>
        </w:rPr>
        <w:t>73,889.2</w:t>
      </w:r>
      <w:r w:rsidR="00175BE7" w:rsidRPr="00175BE7">
        <w:rPr>
          <w:rFonts w:ascii="Times New Roman" w:hAnsi="Times New Roman"/>
          <w:bCs w:val="0"/>
          <w:iCs w:val="0"/>
          <w:sz w:val="20"/>
        </w:rPr>
        <w:t xml:space="preserve"> </w:t>
      </w:r>
    </w:p>
    <w:p w14:paraId="75EB83E4" w14:textId="77777777" w:rsidR="00EC1E1B" w:rsidRPr="00035D4F" w:rsidRDefault="00EC1E1B" w:rsidP="00535CD2">
      <w:pPr>
        <w:ind w:right="544"/>
        <w:rPr>
          <w:highlight w:val="cyan"/>
        </w:rPr>
      </w:pPr>
    </w:p>
    <w:p w14:paraId="672FC8B2" w14:textId="2E1AF441" w:rsidR="00EC1E1B" w:rsidRPr="002E617B" w:rsidRDefault="002D72B5" w:rsidP="00535CD2">
      <w:pPr>
        <w:ind w:right="544"/>
        <w:rPr>
          <w:rFonts w:ascii="Times New Roman" w:hAnsi="Times New Roman"/>
          <w:bCs/>
          <w:iCs/>
          <w:sz w:val="20"/>
          <w:u w:val="single"/>
        </w:rPr>
      </w:pPr>
      <w:r>
        <w:rPr>
          <w:rFonts w:ascii="Times New Roman" w:hAnsi="Times New Roman"/>
          <w:bCs/>
          <w:iCs/>
          <w:sz w:val="20"/>
          <w:u w:val="single"/>
        </w:rPr>
        <w:t xml:space="preserve">New and Expanded </w:t>
      </w:r>
      <w:r w:rsidR="00EC1E1B" w:rsidRPr="002E617B">
        <w:rPr>
          <w:rFonts w:ascii="Times New Roman" w:hAnsi="Times New Roman"/>
          <w:bCs/>
          <w:iCs/>
          <w:sz w:val="20"/>
          <w:u w:val="single"/>
        </w:rPr>
        <w:t>Program Request</w:t>
      </w:r>
      <w:r w:rsidR="00232535" w:rsidRPr="002E617B">
        <w:rPr>
          <w:rFonts w:ascii="Times New Roman" w:hAnsi="Times New Roman"/>
          <w:bCs/>
          <w:iCs/>
          <w:sz w:val="20"/>
          <w:u w:val="single"/>
        </w:rPr>
        <w:t>s</w:t>
      </w:r>
    </w:p>
    <w:p w14:paraId="2F335312" w14:textId="16B25EDE" w:rsidR="00EC1E1B" w:rsidRPr="002E617B" w:rsidRDefault="00EC1E1B" w:rsidP="00535CD2">
      <w:pPr>
        <w:ind w:right="544"/>
        <w:rPr>
          <w:rFonts w:ascii="Times New Roman" w:hAnsi="Times New Roman"/>
          <w:bCs/>
          <w:iCs/>
          <w:sz w:val="20"/>
        </w:rPr>
      </w:pPr>
      <w:r w:rsidRPr="002E617B">
        <w:rPr>
          <w:rFonts w:ascii="Times New Roman" w:hAnsi="Times New Roman"/>
          <w:bCs/>
          <w:iCs/>
          <w:sz w:val="20"/>
        </w:rPr>
        <w:tab/>
      </w:r>
      <w:r w:rsidR="00232535" w:rsidRPr="002E617B">
        <w:rPr>
          <w:rFonts w:ascii="Times New Roman" w:hAnsi="Times New Roman"/>
          <w:bCs/>
          <w:iCs/>
          <w:sz w:val="20"/>
        </w:rPr>
        <w:t xml:space="preserve">       </w:t>
      </w:r>
      <w:r w:rsidR="00313ED2" w:rsidRPr="00313ED2">
        <w:rPr>
          <w:rFonts w:ascii="Times New Roman" w:hAnsi="Times New Roman"/>
          <w:bCs/>
          <w:iCs/>
          <w:sz w:val="20"/>
        </w:rPr>
        <w:t>edTPA</w:t>
      </w:r>
      <w:r w:rsidR="00313ED2">
        <w:rPr>
          <w:rFonts w:ascii="Times New Roman" w:hAnsi="Times New Roman"/>
          <w:bCs/>
          <w:i/>
          <w:iCs/>
          <w:sz w:val="20"/>
        </w:rPr>
        <w:tab/>
      </w:r>
      <w:r w:rsidR="002544D6" w:rsidRPr="006A7369">
        <w:rPr>
          <w:rFonts w:ascii="Times New Roman" w:hAnsi="Times New Roman"/>
          <w:bCs/>
          <w:i/>
          <w:iCs/>
          <w:sz w:val="20"/>
        </w:rPr>
        <w:tab/>
      </w:r>
      <w:r w:rsidR="002544D6" w:rsidRPr="002E617B">
        <w:rPr>
          <w:rFonts w:ascii="Times New Roman" w:hAnsi="Times New Roman"/>
          <w:bCs/>
          <w:iCs/>
          <w:sz w:val="20"/>
        </w:rPr>
        <w:tab/>
      </w:r>
      <w:r w:rsidR="002544D6" w:rsidRPr="002E617B">
        <w:rPr>
          <w:rFonts w:ascii="Times New Roman" w:hAnsi="Times New Roman"/>
          <w:bCs/>
          <w:iCs/>
          <w:sz w:val="20"/>
        </w:rPr>
        <w:tab/>
      </w:r>
      <w:r w:rsidR="00064926" w:rsidRPr="002E617B">
        <w:rPr>
          <w:rFonts w:ascii="Times New Roman" w:hAnsi="Times New Roman"/>
          <w:sz w:val="20"/>
        </w:rPr>
        <w:tab/>
      </w:r>
      <w:r w:rsidR="00064926" w:rsidRPr="002E617B">
        <w:rPr>
          <w:rFonts w:ascii="Times New Roman" w:hAnsi="Times New Roman"/>
          <w:sz w:val="20"/>
        </w:rPr>
        <w:tab/>
      </w:r>
      <w:r w:rsidR="00064926" w:rsidRPr="002E617B">
        <w:rPr>
          <w:rFonts w:ascii="Times New Roman" w:hAnsi="Times New Roman"/>
          <w:sz w:val="20"/>
        </w:rPr>
        <w:tab/>
      </w:r>
      <w:r w:rsidR="00313ED2">
        <w:rPr>
          <w:rFonts w:ascii="Times New Roman" w:hAnsi="Times New Roman"/>
          <w:sz w:val="20"/>
        </w:rPr>
        <w:tab/>
        <w:t xml:space="preserve">         450.0</w:t>
      </w:r>
      <w:r w:rsidRPr="002E617B">
        <w:rPr>
          <w:rFonts w:ascii="Times New Roman" w:hAnsi="Times New Roman"/>
          <w:bCs/>
          <w:iCs/>
          <w:sz w:val="20"/>
        </w:rPr>
        <w:tab/>
      </w:r>
      <w:r w:rsidR="00D63018" w:rsidRPr="002E617B">
        <w:rPr>
          <w:rFonts w:ascii="Times New Roman" w:hAnsi="Times New Roman"/>
          <w:bCs/>
          <w:iCs/>
          <w:sz w:val="20"/>
        </w:rPr>
        <w:t xml:space="preserve"> </w:t>
      </w:r>
      <w:r w:rsidRPr="002E617B">
        <w:rPr>
          <w:rFonts w:ascii="Times New Roman" w:hAnsi="Times New Roman"/>
          <w:bCs/>
          <w:iCs/>
          <w:sz w:val="20"/>
        </w:rPr>
        <w:t xml:space="preserve">           </w:t>
      </w:r>
    </w:p>
    <w:p w14:paraId="5F069D6C" w14:textId="151F9207" w:rsidR="00760E11" w:rsidRPr="001A287E" w:rsidRDefault="00760E11" w:rsidP="00535CD2">
      <w:pPr>
        <w:pStyle w:val="Heading5"/>
        <w:tabs>
          <w:tab w:val="left" w:pos="1800"/>
          <w:tab w:val="decimal" w:pos="8010"/>
          <w:tab w:val="right" w:pos="9990"/>
        </w:tabs>
        <w:ind w:right="544"/>
        <w:rPr>
          <w:rFonts w:ascii="Times New Roman" w:hAnsi="Times New Roman"/>
          <w:b w:val="0"/>
          <w:i w:val="0"/>
          <w:sz w:val="20"/>
          <w:szCs w:val="20"/>
          <w:u w:val="single"/>
        </w:rPr>
      </w:pPr>
      <w:r w:rsidRPr="002E617B">
        <w:rPr>
          <w:rFonts w:ascii="Times New Roman" w:hAnsi="Times New Roman"/>
          <w:b w:val="0"/>
          <w:i w:val="0"/>
          <w:sz w:val="20"/>
          <w:szCs w:val="20"/>
          <w:u w:val="single"/>
        </w:rPr>
        <w:t>Increases</w:t>
      </w:r>
    </w:p>
    <w:p w14:paraId="784C2699" w14:textId="6A1D9617" w:rsidR="006A7369" w:rsidRPr="006A7369" w:rsidRDefault="00760E11" w:rsidP="006A7369">
      <w:pPr>
        <w:pStyle w:val="Heading5"/>
        <w:tabs>
          <w:tab w:val="left" w:pos="1080"/>
          <w:tab w:val="decimal" w:pos="8010"/>
          <w:tab w:val="right" w:pos="9990"/>
        </w:tabs>
        <w:spacing w:before="0"/>
        <w:ind w:right="544"/>
        <w:rPr>
          <w:rFonts w:ascii="Times New Roman" w:hAnsi="Times New Roman"/>
          <w:b w:val="0"/>
          <w:i w:val="0"/>
          <w:sz w:val="20"/>
          <w:szCs w:val="20"/>
        </w:rPr>
      </w:pPr>
      <w:r w:rsidRPr="001A287E">
        <w:rPr>
          <w:rFonts w:ascii="Times New Roman" w:hAnsi="Times New Roman"/>
          <w:b w:val="0"/>
          <w:i w:val="0"/>
          <w:sz w:val="20"/>
          <w:szCs w:val="20"/>
        </w:rPr>
        <w:tab/>
      </w:r>
      <w:r w:rsidR="00122611">
        <w:rPr>
          <w:rFonts w:ascii="Times New Roman" w:hAnsi="Times New Roman"/>
          <w:b w:val="0"/>
          <w:i w:val="0"/>
          <w:sz w:val="20"/>
          <w:szCs w:val="20"/>
        </w:rPr>
        <w:t>Compensation</w:t>
      </w:r>
      <w:r w:rsidR="0012670C" w:rsidRPr="001A287E">
        <w:rPr>
          <w:rFonts w:ascii="Times New Roman" w:hAnsi="Times New Roman"/>
          <w:b w:val="0"/>
          <w:i w:val="0"/>
          <w:sz w:val="20"/>
          <w:szCs w:val="20"/>
        </w:rPr>
        <w:t xml:space="preserve"> (3</w:t>
      </w:r>
      <w:r w:rsidR="00E11941">
        <w:rPr>
          <w:rFonts w:ascii="Times New Roman" w:hAnsi="Times New Roman"/>
          <w:b w:val="0"/>
          <w:i w:val="0"/>
          <w:sz w:val="20"/>
          <w:szCs w:val="20"/>
        </w:rPr>
        <w:t>.0% of General Revenue</w:t>
      </w:r>
      <w:r w:rsidR="00F039C5" w:rsidRPr="001A287E">
        <w:rPr>
          <w:rFonts w:ascii="Times New Roman" w:hAnsi="Times New Roman"/>
          <w:b w:val="0"/>
          <w:i w:val="0"/>
          <w:sz w:val="20"/>
          <w:szCs w:val="20"/>
        </w:rPr>
        <w:t xml:space="preserve"> Personal Service</w:t>
      </w:r>
      <w:r w:rsidR="0025324E" w:rsidRPr="001A287E">
        <w:rPr>
          <w:rFonts w:ascii="Times New Roman" w:hAnsi="Times New Roman"/>
          <w:b w:val="0"/>
          <w:i w:val="0"/>
          <w:sz w:val="20"/>
          <w:szCs w:val="20"/>
        </w:rPr>
        <w:t>s</w:t>
      </w:r>
      <w:r w:rsidR="00F039C5" w:rsidRPr="001A287E">
        <w:rPr>
          <w:rFonts w:ascii="Times New Roman" w:hAnsi="Times New Roman"/>
          <w:b w:val="0"/>
          <w:i w:val="0"/>
          <w:sz w:val="20"/>
          <w:szCs w:val="20"/>
        </w:rPr>
        <w:t xml:space="preserve"> Base)</w:t>
      </w:r>
      <w:r w:rsidR="00F039C5" w:rsidRPr="001A287E">
        <w:rPr>
          <w:rFonts w:ascii="Times New Roman" w:hAnsi="Times New Roman"/>
          <w:b w:val="0"/>
          <w:i w:val="0"/>
          <w:sz w:val="20"/>
          <w:szCs w:val="20"/>
        </w:rPr>
        <w:tab/>
      </w:r>
      <w:r w:rsidR="00172F4D" w:rsidRPr="00172F4D">
        <w:rPr>
          <w:rFonts w:ascii="Times New Roman" w:hAnsi="Times New Roman"/>
          <w:b w:val="0"/>
          <w:i w:val="0"/>
          <w:sz w:val="20"/>
          <w:szCs w:val="20"/>
        </w:rPr>
        <w:t>4,914.9</w:t>
      </w:r>
    </w:p>
    <w:p w14:paraId="0C0DB916" w14:textId="3653EEFE" w:rsidR="009D6F59" w:rsidRPr="001A287E" w:rsidRDefault="00D233D7" w:rsidP="00535CD2">
      <w:pPr>
        <w:pStyle w:val="Heading5"/>
        <w:tabs>
          <w:tab w:val="left" w:pos="1080"/>
          <w:tab w:val="decimal" w:pos="8010"/>
          <w:tab w:val="right" w:pos="9990"/>
        </w:tabs>
        <w:spacing w:before="0"/>
        <w:ind w:right="544"/>
        <w:rPr>
          <w:rFonts w:ascii="Times New Roman" w:hAnsi="Times New Roman"/>
          <w:b w:val="0"/>
          <w:i w:val="0"/>
          <w:sz w:val="20"/>
          <w:szCs w:val="20"/>
        </w:rPr>
      </w:pPr>
      <w:r w:rsidRPr="001A287E">
        <w:rPr>
          <w:rFonts w:ascii="Times New Roman" w:hAnsi="Times New Roman"/>
          <w:b w:val="0"/>
          <w:i w:val="0"/>
          <w:sz w:val="20"/>
          <w:szCs w:val="20"/>
        </w:rPr>
        <w:tab/>
      </w:r>
      <w:r w:rsidR="009D6F59" w:rsidRPr="001A287E">
        <w:rPr>
          <w:rFonts w:ascii="Times New Roman" w:hAnsi="Times New Roman"/>
          <w:b w:val="0"/>
          <w:i w:val="0"/>
          <w:sz w:val="20"/>
          <w:szCs w:val="20"/>
        </w:rPr>
        <w:t>Deferred Maintenance</w:t>
      </w:r>
      <w:r w:rsidR="009D6F59" w:rsidRPr="001A287E">
        <w:rPr>
          <w:rFonts w:ascii="Times New Roman" w:hAnsi="Times New Roman"/>
          <w:b w:val="0"/>
          <w:i w:val="0"/>
          <w:sz w:val="20"/>
          <w:szCs w:val="20"/>
        </w:rPr>
        <w:tab/>
      </w:r>
      <w:r w:rsidR="006A7369">
        <w:rPr>
          <w:rFonts w:ascii="Times New Roman" w:hAnsi="Times New Roman"/>
          <w:b w:val="0"/>
          <w:i w:val="0"/>
          <w:sz w:val="20"/>
          <w:szCs w:val="20"/>
        </w:rPr>
        <w:t xml:space="preserve"> </w:t>
      </w:r>
      <w:r w:rsidR="009F5A01" w:rsidRPr="001A287E">
        <w:rPr>
          <w:rFonts w:ascii="Times New Roman" w:hAnsi="Times New Roman"/>
          <w:b w:val="0"/>
          <w:i w:val="0"/>
          <w:sz w:val="20"/>
          <w:szCs w:val="20"/>
        </w:rPr>
        <w:t>2,500.0</w:t>
      </w:r>
      <w:r w:rsidR="009D6F59" w:rsidRPr="001A287E">
        <w:rPr>
          <w:rFonts w:ascii="Times New Roman" w:hAnsi="Times New Roman"/>
          <w:b w:val="0"/>
          <w:i w:val="0"/>
          <w:sz w:val="20"/>
          <w:szCs w:val="20"/>
        </w:rPr>
        <w:tab/>
      </w:r>
      <w:r w:rsidR="009D6F59" w:rsidRPr="001A287E">
        <w:rPr>
          <w:rFonts w:ascii="Times New Roman" w:hAnsi="Times New Roman"/>
          <w:b w:val="0"/>
          <w:i w:val="0"/>
          <w:sz w:val="20"/>
          <w:szCs w:val="20"/>
        </w:rPr>
        <w:tab/>
      </w:r>
      <w:r w:rsidR="009D6F59" w:rsidRPr="001A287E">
        <w:rPr>
          <w:rFonts w:ascii="Times New Roman" w:hAnsi="Times New Roman"/>
          <w:b w:val="0"/>
          <w:i w:val="0"/>
          <w:sz w:val="20"/>
          <w:szCs w:val="20"/>
        </w:rPr>
        <w:tab/>
        <w:t xml:space="preserve">   </w:t>
      </w:r>
      <w:r w:rsidR="009553B9" w:rsidRPr="001A287E">
        <w:rPr>
          <w:rFonts w:ascii="Times New Roman" w:hAnsi="Times New Roman"/>
          <w:b w:val="0"/>
          <w:i w:val="0"/>
          <w:sz w:val="20"/>
          <w:szCs w:val="20"/>
        </w:rPr>
        <w:t xml:space="preserve"> </w:t>
      </w:r>
      <w:r w:rsidRPr="001A287E">
        <w:rPr>
          <w:rFonts w:ascii="Times New Roman" w:hAnsi="Times New Roman"/>
          <w:b w:val="0"/>
          <w:i w:val="0"/>
          <w:sz w:val="20"/>
          <w:szCs w:val="20"/>
        </w:rPr>
        <w:t xml:space="preserve">   </w:t>
      </w:r>
      <w:r w:rsidR="00A52782" w:rsidRPr="001A287E">
        <w:rPr>
          <w:rFonts w:ascii="Times New Roman" w:hAnsi="Times New Roman"/>
          <w:b w:val="0"/>
          <w:i w:val="0"/>
          <w:sz w:val="20"/>
          <w:szCs w:val="20"/>
        </w:rPr>
        <w:t>2,1</w:t>
      </w:r>
      <w:r w:rsidRPr="001A287E">
        <w:rPr>
          <w:rFonts w:ascii="Times New Roman" w:hAnsi="Times New Roman"/>
          <w:b w:val="0"/>
          <w:i w:val="0"/>
          <w:sz w:val="20"/>
          <w:szCs w:val="20"/>
        </w:rPr>
        <w:t>00.0</w:t>
      </w:r>
    </w:p>
    <w:p w14:paraId="058248C7" w14:textId="01B26D36" w:rsidR="0037410D" w:rsidRPr="001A287E" w:rsidRDefault="005A65BC" w:rsidP="006A7369">
      <w:pPr>
        <w:pStyle w:val="Heading5"/>
        <w:tabs>
          <w:tab w:val="left" w:pos="1080"/>
          <w:tab w:val="decimal" w:pos="8010"/>
          <w:tab w:val="right" w:pos="9990"/>
        </w:tabs>
        <w:ind w:right="544"/>
        <w:rPr>
          <w:rFonts w:ascii="Times New Roman" w:hAnsi="Times New Roman"/>
          <w:b w:val="0"/>
          <w:i w:val="0"/>
          <w:sz w:val="20"/>
          <w:szCs w:val="20"/>
          <w:u w:val="double"/>
        </w:rPr>
      </w:pPr>
      <w:r w:rsidRPr="001A287E">
        <w:rPr>
          <w:rFonts w:ascii="Times New Roman" w:hAnsi="Times New Roman"/>
          <w:b w:val="0"/>
          <w:i w:val="0"/>
          <w:sz w:val="20"/>
          <w:szCs w:val="20"/>
          <w:u w:val="single"/>
        </w:rPr>
        <w:t>FY</w:t>
      </w:r>
      <w:r w:rsidR="008F31EA" w:rsidRPr="001A287E">
        <w:rPr>
          <w:rFonts w:ascii="Times New Roman" w:hAnsi="Times New Roman"/>
          <w:b w:val="0"/>
          <w:i w:val="0"/>
          <w:sz w:val="20"/>
          <w:szCs w:val="20"/>
          <w:u w:val="single"/>
        </w:rPr>
        <w:t>20</w:t>
      </w:r>
      <w:r w:rsidR="000004A5">
        <w:rPr>
          <w:rFonts w:ascii="Times New Roman" w:hAnsi="Times New Roman"/>
          <w:b w:val="0"/>
          <w:i w:val="0"/>
          <w:sz w:val="20"/>
          <w:szCs w:val="20"/>
          <w:u w:val="single"/>
        </w:rPr>
        <w:t>1</w:t>
      </w:r>
      <w:r w:rsidR="001A7B06">
        <w:rPr>
          <w:rFonts w:ascii="Times New Roman" w:hAnsi="Times New Roman"/>
          <w:b w:val="0"/>
          <w:i w:val="0"/>
          <w:sz w:val="20"/>
          <w:szCs w:val="20"/>
          <w:u w:val="single"/>
        </w:rPr>
        <w:t>6</w:t>
      </w:r>
      <w:r w:rsidR="00E11941">
        <w:rPr>
          <w:rFonts w:ascii="Times New Roman" w:hAnsi="Times New Roman"/>
          <w:b w:val="0"/>
          <w:i w:val="0"/>
          <w:sz w:val="20"/>
          <w:szCs w:val="20"/>
          <w:u w:val="single"/>
        </w:rPr>
        <w:t xml:space="preserve"> Appropriated Funds</w:t>
      </w:r>
      <w:r w:rsidR="00760E11" w:rsidRPr="001A287E">
        <w:rPr>
          <w:rFonts w:ascii="Times New Roman" w:hAnsi="Times New Roman"/>
          <w:b w:val="0"/>
          <w:i w:val="0"/>
          <w:sz w:val="20"/>
          <w:szCs w:val="20"/>
          <w:u w:val="single"/>
        </w:rPr>
        <w:t xml:space="preserve"> Request</w:t>
      </w:r>
      <w:r w:rsidR="00760E11" w:rsidRPr="001A287E">
        <w:rPr>
          <w:rFonts w:ascii="Times New Roman" w:hAnsi="Times New Roman"/>
          <w:b w:val="0"/>
          <w:i w:val="0"/>
          <w:color w:val="FF0000"/>
          <w:sz w:val="20"/>
          <w:szCs w:val="20"/>
        </w:rPr>
        <w:tab/>
      </w:r>
      <w:r w:rsidR="006A7369">
        <w:rPr>
          <w:rFonts w:ascii="Times New Roman" w:hAnsi="Times New Roman"/>
          <w:b w:val="0"/>
          <w:i w:val="0"/>
          <w:color w:val="FF0000"/>
          <w:sz w:val="20"/>
          <w:szCs w:val="20"/>
        </w:rPr>
        <w:t xml:space="preserve">                   </w:t>
      </w:r>
      <w:r w:rsidR="00D63018" w:rsidRPr="002E617B">
        <w:rPr>
          <w:rFonts w:ascii="Times New Roman" w:hAnsi="Times New Roman"/>
          <w:b w:val="0"/>
          <w:i w:val="0"/>
          <w:sz w:val="20"/>
          <w:szCs w:val="20"/>
        </w:rPr>
        <w:t>$</w:t>
      </w:r>
      <w:r w:rsidR="00172F4D">
        <w:rPr>
          <w:rFonts w:ascii="Times New Roman" w:hAnsi="Times New Roman"/>
          <w:b w:val="0"/>
          <w:i w:val="0"/>
          <w:sz w:val="20"/>
          <w:szCs w:val="20"/>
          <w:u w:val="double"/>
        </w:rPr>
        <w:t>81,754.1</w:t>
      </w:r>
    </w:p>
    <w:p w14:paraId="722EAE37" w14:textId="6D112152" w:rsidR="00760E11" w:rsidRPr="001A287E" w:rsidRDefault="009D6F59" w:rsidP="00535CD2">
      <w:pPr>
        <w:pStyle w:val="Heading5"/>
        <w:tabs>
          <w:tab w:val="left" w:pos="1080"/>
          <w:tab w:val="decimal" w:pos="8010"/>
          <w:tab w:val="right" w:pos="9990"/>
        </w:tabs>
        <w:ind w:right="544"/>
        <w:rPr>
          <w:rFonts w:ascii="Times New Roman" w:hAnsi="Times New Roman"/>
          <w:b w:val="0"/>
          <w:i w:val="0"/>
          <w:sz w:val="20"/>
          <w:szCs w:val="20"/>
        </w:rPr>
      </w:pPr>
      <w:r w:rsidRPr="001A287E">
        <w:rPr>
          <w:rFonts w:ascii="Times New Roman" w:hAnsi="Times New Roman"/>
          <w:b w:val="0"/>
          <w:i w:val="0"/>
          <w:sz w:val="20"/>
          <w:szCs w:val="20"/>
        </w:rPr>
        <w:t>Dollar Increase</w:t>
      </w:r>
      <w:r w:rsidRPr="001A287E">
        <w:rPr>
          <w:rFonts w:ascii="Times New Roman" w:hAnsi="Times New Roman"/>
          <w:b w:val="0"/>
          <w:i w:val="0"/>
          <w:sz w:val="20"/>
          <w:szCs w:val="20"/>
        </w:rPr>
        <w:tab/>
      </w:r>
      <w:r w:rsidR="00172F4D">
        <w:rPr>
          <w:rFonts w:ascii="Times New Roman" w:hAnsi="Times New Roman"/>
          <w:b w:val="0"/>
          <w:i w:val="0"/>
          <w:sz w:val="20"/>
          <w:szCs w:val="20"/>
        </w:rPr>
        <w:t>$7,864.9</w:t>
      </w:r>
    </w:p>
    <w:p w14:paraId="03DE6F77" w14:textId="652257EA" w:rsidR="00760E11" w:rsidRPr="00855809" w:rsidRDefault="00760E11" w:rsidP="00535CD2">
      <w:pPr>
        <w:pStyle w:val="Heading5"/>
        <w:tabs>
          <w:tab w:val="left" w:pos="1080"/>
          <w:tab w:val="decimal" w:pos="8010"/>
          <w:tab w:val="right" w:pos="9990"/>
        </w:tabs>
        <w:ind w:right="544"/>
        <w:rPr>
          <w:rFonts w:ascii="Times New Roman" w:hAnsi="Times New Roman"/>
          <w:b w:val="0"/>
          <w:i w:val="0"/>
          <w:sz w:val="20"/>
          <w:szCs w:val="20"/>
        </w:rPr>
      </w:pPr>
      <w:r w:rsidRPr="002544D6">
        <w:rPr>
          <w:rFonts w:ascii="Times New Roman" w:hAnsi="Times New Roman"/>
          <w:b w:val="0"/>
          <w:i w:val="0"/>
          <w:sz w:val="20"/>
          <w:szCs w:val="20"/>
        </w:rPr>
        <w:t xml:space="preserve">Percent </w:t>
      </w:r>
      <w:r w:rsidRPr="002E617B">
        <w:rPr>
          <w:rFonts w:ascii="Times New Roman" w:hAnsi="Times New Roman"/>
          <w:b w:val="0"/>
          <w:i w:val="0"/>
          <w:sz w:val="20"/>
          <w:szCs w:val="20"/>
        </w:rPr>
        <w:t>Increase</w:t>
      </w:r>
      <w:r w:rsidR="00860592" w:rsidRPr="002E617B">
        <w:rPr>
          <w:rFonts w:ascii="Times New Roman" w:hAnsi="Times New Roman"/>
          <w:b w:val="0"/>
          <w:i w:val="0"/>
          <w:sz w:val="20"/>
          <w:szCs w:val="20"/>
        </w:rPr>
        <w:t xml:space="preserve">          </w:t>
      </w:r>
      <w:r w:rsidRPr="002E617B">
        <w:rPr>
          <w:rFonts w:ascii="Times New Roman" w:hAnsi="Times New Roman"/>
          <w:b w:val="0"/>
          <w:i w:val="0"/>
          <w:sz w:val="20"/>
          <w:szCs w:val="20"/>
        </w:rPr>
        <w:t xml:space="preserve">                                              </w:t>
      </w:r>
      <w:r w:rsidR="00860592" w:rsidRPr="002E617B">
        <w:rPr>
          <w:rFonts w:ascii="Times New Roman" w:hAnsi="Times New Roman"/>
          <w:b w:val="0"/>
          <w:i w:val="0"/>
          <w:sz w:val="20"/>
          <w:szCs w:val="20"/>
        </w:rPr>
        <w:t xml:space="preserve">                                                                     </w:t>
      </w:r>
      <w:r w:rsidR="002D72B5">
        <w:rPr>
          <w:rFonts w:ascii="Times New Roman" w:hAnsi="Times New Roman"/>
          <w:b w:val="0"/>
          <w:i w:val="0"/>
          <w:sz w:val="20"/>
          <w:szCs w:val="20"/>
        </w:rPr>
        <w:t>10.6</w:t>
      </w:r>
      <w:r w:rsidR="00D63018" w:rsidRPr="002E617B">
        <w:rPr>
          <w:rFonts w:ascii="Times New Roman" w:hAnsi="Times New Roman"/>
          <w:b w:val="0"/>
          <w:i w:val="0"/>
          <w:sz w:val="20"/>
          <w:szCs w:val="20"/>
        </w:rPr>
        <w:t>%</w:t>
      </w:r>
    </w:p>
    <w:p w14:paraId="0766E8E6" w14:textId="77777777" w:rsidR="00DD4750" w:rsidRDefault="00DD4750" w:rsidP="00535CD2">
      <w:pPr>
        <w:ind w:right="544"/>
        <w:rPr>
          <w:highlight w:val="cyan"/>
        </w:rPr>
      </w:pPr>
    </w:p>
    <w:p w14:paraId="120169AB" w14:textId="77777777" w:rsidR="00F571B2" w:rsidRDefault="00F571B2" w:rsidP="00535CD2">
      <w:pPr>
        <w:ind w:right="544"/>
        <w:rPr>
          <w:rFonts w:ascii="Times New Roman" w:hAnsi="Times New Roman"/>
          <w:sz w:val="20"/>
          <w:highlight w:val="cyan"/>
        </w:rPr>
      </w:pPr>
    </w:p>
    <w:p w14:paraId="3729460B" w14:textId="154A7FFB" w:rsidR="004A0FCD" w:rsidRPr="004A0FCD" w:rsidRDefault="004A0FCD" w:rsidP="00535CD2">
      <w:pPr>
        <w:ind w:right="544"/>
        <w:rPr>
          <w:rFonts w:ascii="Times New Roman" w:hAnsi="Times New Roman"/>
          <w:sz w:val="20"/>
          <w:highlight w:val="cyan"/>
        </w:rPr>
      </w:pPr>
    </w:p>
    <w:p w14:paraId="5B3F7BBE" w14:textId="77777777" w:rsidR="00F571B2" w:rsidRDefault="00F571B2" w:rsidP="00535CD2">
      <w:pPr>
        <w:ind w:right="544"/>
        <w:rPr>
          <w:highlight w:val="cyan"/>
        </w:rPr>
      </w:pPr>
    </w:p>
    <w:p w14:paraId="2D7B11D3" w14:textId="77777777" w:rsidR="00C850DC" w:rsidRDefault="00C850DC">
      <w:pPr>
        <w:rPr>
          <w:highlight w:val="cyan"/>
        </w:rPr>
      </w:pPr>
      <w:r>
        <w:rPr>
          <w:highlight w:val="cyan"/>
        </w:rPr>
        <w:br w:type="page"/>
      </w:r>
    </w:p>
    <w:p w14:paraId="326EF518" w14:textId="77777777" w:rsidR="00661ED5" w:rsidRDefault="00661ED5" w:rsidP="00661ED5">
      <w:pPr>
        <w:pStyle w:val="Title"/>
        <w:tabs>
          <w:tab w:val="decimal" w:pos="7920"/>
        </w:tabs>
        <w:ind w:right="544"/>
        <w:rPr>
          <w:rFonts w:ascii="Times New Roman" w:hAnsi="Times New Roman"/>
          <w:sz w:val="20"/>
        </w:rPr>
      </w:pPr>
      <w:r>
        <w:rPr>
          <w:rFonts w:ascii="Times New Roman" w:hAnsi="Times New Roman"/>
          <w:sz w:val="20"/>
        </w:rPr>
        <w:lastRenderedPageBreak/>
        <w:t>Board of Trustees</w:t>
      </w:r>
    </w:p>
    <w:p w14:paraId="65BD61B9" w14:textId="77777777" w:rsidR="00661ED5" w:rsidRDefault="00661ED5" w:rsidP="00661ED5">
      <w:pPr>
        <w:ind w:right="544"/>
        <w:jc w:val="center"/>
        <w:outlineLvl w:val="0"/>
        <w:rPr>
          <w:rFonts w:ascii="Times New Roman" w:hAnsi="Times New Roman"/>
          <w:b/>
          <w:sz w:val="20"/>
        </w:rPr>
      </w:pPr>
      <w:r>
        <w:rPr>
          <w:rFonts w:ascii="Times New Roman" w:hAnsi="Times New Roman"/>
          <w:b/>
          <w:sz w:val="20"/>
        </w:rPr>
        <w:t>Illinois State University</w:t>
      </w:r>
    </w:p>
    <w:p w14:paraId="2D5AE567" w14:textId="77777777" w:rsidR="00661ED5" w:rsidRDefault="00661ED5" w:rsidP="00661ED5">
      <w:pPr>
        <w:ind w:right="544"/>
        <w:jc w:val="center"/>
        <w:rPr>
          <w:rFonts w:ascii="Times New Roman" w:hAnsi="Times New Roman" w:cs="Arial"/>
          <w:b/>
          <w:sz w:val="20"/>
        </w:rPr>
      </w:pPr>
      <w:r>
        <w:rPr>
          <w:rFonts w:ascii="Times New Roman" w:hAnsi="Times New Roman" w:cs="Arial"/>
          <w:b/>
          <w:sz w:val="20"/>
        </w:rPr>
        <w:t>FY2016</w:t>
      </w:r>
      <w:r w:rsidRPr="004F1522">
        <w:rPr>
          <w:rFonts w:ascii="Times New Roman" w:hAnsi="Times New Roman" w:cs="Arial"/>
          <w:b/>
          <w:sz w:val="20"/>
        </w:rPr>
        <w:t xml:space="preserve"> Capital </w:t>
      </w:r>
      <w:r>
        <w:rPr>
          <w:rFonts w:ascii="Times New Roman" w:hAnsi="Times New Roman" w:cs="Arial"/>
          <w:b/>
          <w:sz w:val="20"/>
        </w:rPr>
        <w:t xml:space="preserve">Improvements </w:t>
      </w:r>
      <w:r w:rsidRPr="004F1522">
        <w:rPr>
          <w:rFonts w:ascii="Times New Roman" w:hAnsi="Times New Roman" w:cs="Arial"/>
          <w:b/>
          <w:sz w:val="20"/>
        </w:rPr>
        <w:t>Request</w:t>
      </w:r>
    </w:p>
    <w:p w14:paraId="131F692D" w14:textId="77777777" w:rsidR="00661ED5" w:rsidRDefault="00661ED5" w:rsidP="00661ED5">
      <w:pPr>
        <w:spacing w:before="240"/>
        <w:ind w:right="544"/>
        <w:rPr>
          <w:rFonts w:ascii="Times New Roman" w:hAnsi="Times New Roman" w:cs="Arial"/>
          <w:sz w:val="20"/>
        </w:rPr>
      </w:pPr>
      <w:r w:rsidRPr="004F1522">
        <w:rPr>
          <w:rFonts w:ascii="Times New Roman" w:hAnsi="Times New Roman" w:cs="Arial"/>
          <w:sz w:val="20"/>
        </w:rPr>
        <w:t>The capital projects for which funding</w:t>
      </w:r>
      <w:r>
        <w:rPr>
          <w:rFonts w:ascii="Times New Roman" w:hAnsi="Times New Roman" w:cs="Arial"/>
          <w:sz w:val="20"/>
        </w:rPr>
        <w:t xml:space="preserve"> is requested for FY2016</w:t>
      </w:r>
      <w:r w:rsidRPr="004F1522">
        <w:rPr>
          <w:rFonts w:ascii="Times New Roman" w:hAnsi="Times New Roman" w:cs="Arial"/>
          <w:sz w:val="20"/>
        </w:rPr>
        <w:t xml:space="preserve"> </w:t>
      </w:r>
      <w:r>
        <w:rPr>
          <w:rFonts w:ascii="Times New Roman" w:hAnsi="Times New Roman" w:cs="Arial"/>
          <w:sz w:val="20"/>
        </w:rPr>
        <w:t xml:space="preserve">are instrumental in addressing the goals and priorities articulated in the University’s strategic </w:t>
      </w:r>
      <w:r w:rsidRPr="001B0F71">
        <w:rPr>
          <w:rFonts w:ascii="Times New Roman" w:hAnsi="Times New Roman" w:cs="Arial"/>
          <w:sz w:val="20"/>
        </w:rPr>
        <w:t xml:space="preserve">plan, </w:t>
      </w:r>
      <w:r w:rsidRPr="001B0F71">
        <w:rPr>
          <w:rFonts w:ascii="Times New Roman" w:hAnsi="Times New Roman" w:cs="Arial"/>
          <w:i/>
          <w:sz w:val="20"/>
        </w:rPr>
        <w:t>Educating Illinois</w:t>
      </w:r>
      <w:r>
        <w:rPr>
          <w:rFonts w:ascii="Times New Roman" w:hAnsi="Times New Roman" w:cs="Arial"/>
          <w:i/>
          <w:sz w:val="20"/>
        </w:rPr>
        <w:t xml:space="preserve"> </w:t>
      </w:r>
      <w:r>
        <w:rPr>
          <w:rFonts w:ascii="Times New Roman" w:hAnsi="Times New Roman" w:cs="Arial"/>
          <w:sz w:val="20"/>
        </w:rPr>
        <w:t xml:space="preserve">as well as the recommendations in </w:t>
      </w:r>
      <w:r>
        <w:rPr>
          <w:rFonts w:ascii="Times New Roman" w:hAnsi="Times New Roman" w:cs="Arial"/>
          <w:i/>
          <w:sz w:val="20"/>
        </w:rPr>
        <w:t>Master Plan 2010-2030: Looking to the Future</w:t>
      </w:r>
      <w:r>
        <w:rPr>
          <w:rFonts w:ascii="Times New Roman" w:hAnsi="Times New Roman" w:cs="Arial"/>
          <w:sz w:val="20"/>
        </w:rPr>
        <w:t>. These projects are important to</w:t>
      </w:r>
      <w:r w:rsidRPr="004F1522">
        <w:rPr>
          <w:rFonts w:ascii="Times New Roman" w:hAnsi="Times New Roman" w:cs="Arial"/>
          <w:sz w:val="20"/>
        </w:rPr>
        <w:t xml:space="preserve"> enhancing a healthy, safe and environmentally sustainable campus</w:t>
      </w:r>
      <w:r>
        <w:rPr>
          <w:rFonts w:ascii="Times New Roman" w:hAnsi="Times New Roman" w:cs="Arial"/>
          <w:sz w:val="20"/>
        </w:rPr>
        <w:t xml:space="preserve"> </w:t>
      </w:r>
      <w:r w:rsidRPr="004F1522">
        <w:rPr>
          <w:rFonts w:ascii="Times New Roman" w:hAnsi="Times New Roman" w:cs="Arial"/>
          <w:sz w:val="20"/>
        </w:rPr>
        <w:t xml:space="preserve">and </w:t>
      </w:r>
      <w:r>
        <w:rPr>
          <w:rFonts w:ascii="Times New Roman" w:hAnsi="Times New Roman" w:cs="Arial"/>
          <w:sz w:val="20"/>
        </w:rPr>
        <w:t>to ensuring that the University has</w:t>
      </w:r>
      <w:r w:rsidRPr="004F1522">
        <w:rPr>
          <w:rFonts w:ascii="Times New Roman" w:hAnsi="Times New Roman" w:cs="Arial"/>
          <w:sz w:val="20"/>
        </w:rPr>
        <w:t xml:space="preserve"> the physical infrastructure </w:t>
      </w:r>
      <w:r>
        <w:rPr>
          <w:rFonts w:ascii="Times New Roman" w:hAnsi="Times New Roman" w:cs="Arial"/>
          <w:sz w:val="20"/>
        </w:rPr>
        <w:t>necessary for excellence in instruction, research and service in</w:t>
      </w:r>
      <w:r w:rsidRPr="004F1522">
        <w:rPr>
          <w:rFonts w:ascii="Times New Roman" w:hAnsi="Times New Roman" w:cs="Arial"/>
          <w:sz w:val="20"/>
        </w:rPr>
        <w:t xml:space="preserve"> the 21</w:t>
      </w:r>
      <w:r w:rsidRPr="004F1522">
        <w:rPr>
          <w:rFonts w:ascii="Times New Roman" w:hAnsi="Times New Roman" w:cs="Arial"/>
          <w:sz w:val="20"/>
          <w:vertAlign w:val="superscript"/>
        </w:rPr>
        <w:t>st</w:t>
      </w:r>
      <w:r w:rsidRPr="004F1522">
        <w:rPr>
          <w:rFonts w:ascii="Times New Roman" w:hAnsi="Times New Roman" w:cs="Arial"/>
          <w:sz w:val="20"/>
        </w:rPr>
        <w:t xml:space="preserve"> century. </w:t>
      </w:r>
    </w:p>
    <w:p w14:paraId="3712A523" w14:textId="77777777" w:rsidR="00661ED5" w:rsidRPr="004F1522" w:rsidRDefault="00661ED5" w:rsidP="00661ED5">
      <w:pPr>
        <w:spacing w:before="240"/>
        <w:ind w:right="544"/>
        <w:rPr>
          <w:rFonts w:ascii="Times New Roman" w:hAnsi="Times New Roman" w:cs="Arial"/>
          <w:sz w:val="20"/>
        </w:rPr>
      </w:pPr>
      <w:r>
        <w:rPr>
          <w:rFonts w:ascii="Times New Roman" w:hAnsi="Times New Roman" w:cs="Arial"/>
          <w:sz w:val="20"/>
        </w:rPr>
        <w:t>Identifying the projects included in the annual request to the state for</w:t>
      </w:r>
      <w:r w:rsidRPr="004F1522">
        <w:rPr>
          <w:rFonts w:ascii="Times New Roman" w:hAnsi="Times New Roman" w:cs="Arial"/>
          <w:sz w:val="20"/>
        </w:rPr>
        <w:t xml:space="preserve"> capital improvement </w:t>
      </w:r>
      <w:r>
        <w:rPr>
          <w:rFonts w:ascii="Times New Roman" w:hAnsi="Times New Roman" w:cs="Arial"/>
          <w:sz w:val="20"/>
        </w:rPr>
        <w:t>funding</w:t>
      </w:r>
      <w:r w:rsidRPr="004F1522">
        <w:rPr>
          <w:rFonts w:ascii="Times New Roman" w:hAnsi="Times New Roman" w:cs="Arial"/>
          <w:sz w:val="20"/>
        </w:rPr>
        <w:t xml:space="preserve"> involves an ongoing process of assessing academic and support service capital needs, determining facility us</w:t>
      </w:r>
      <w:r>
        <w:rPr>
          <w:rFonts w:ascii="Times New Roman" w:hAnsi="Times New Roman" w:cs="Arial"/>
          <w:sz w:val="20"/>
        </w:rPr>
        <w:t>e</w:t>
      </w:r>
      <w:r w:rsidRPr="004F1522">
        <w:rPr>
          <w:rFonts w:ascii="Times New Roman" w:hAnsi="Times New Roman" w:cs="Arial"/>
          <w:sz w:val="20"/>
        </w:rPr>
        <w:t xml:space="preserve"> strategies, analyzing facilities</w:t>
      </w:r>
      <w:r>
        <w:rPr>
          <w:rFonts w:ascii="Times New Roman" w:hAnsi="Times New Roman" w:cs="Arial"/>
          <w:sz w:val="20"/>
        </w:rPr>
        <w:t>’ conditions and opportunities,</w:t>
      </w:r>
      <w:r w:rsidRPr="004F1522">
        <w:rPr>
          <w:rFonts w:ascii="Times New Roman" w:hAnsi="Times New Roman" w:cs="Arial"/>
          <w:sz w:val="20"/>
        </w:rPr>
        <w:t xml:space="preserve"> and e</w:t>
      </w:r>
      <w:r>
        <w:rPr>
          <w:rFonts w:ascii="Times New Roman" w:hAnsi="Times New Roman" w:cs="Arial"/>
          <w:sz w:val="20"/>
        </w:rPr>
        <w:t>valuating available resources.  The projects included in the FY2016 request are the same as those included in last year’s request, as no new state funds were appropriated to support University capital projects in FY2015</w:t>
      </w:r>
      <w:r w:rsidRPr="00C2719E">
        <w:rPr>
          <w:rFonts w:ascii="Times New Roman" w:hAnsi="Times New Roman" w:cs="Arial"/>
          <w:sz w:val="20"/>
        </w:rPr>
        <w:t xml:space="preserve">.  </w:t>
      </w:r>
      <w:r w:rsidRPr="00450770">
        <w:rPr>
          <w:rFonts w:ascii="Times New Roman" w:hAnsi="Times New Roman" w:cs="Arial"/>
          <w:sz w:val="20"/>
        </w:rPr>
        <w:t>The priority assigned to each project remains the same as well.</w:t>
      </w:r>
      <w:r>
        <w:rPr>
          <w:rFonts w:ascii="Times New Roman" w:hAnsi="Times New Roman" w:cs="Arial"/>
          <w:sz w:val="20"/>
        </w:rPr>
        <w:t xml:space="preserve"> Both the projects requested and the priority assigned to them are reviewed and approved by the Capital Planning and Budget Team comprised of individuals from each Division of the University, shared governance constituencies and Intercollegiate Athletics. </w:t>
      </w:r>
    </w:p>
    <w:p w14:paraId="6155F59F" w14:textId="77777777" w:rsidR="00661ED5" w:rsidRPr="004F1522" w:rsidRDefault="00661ED5" w:rsidP="00661ED5">
      <w:pPr>
        <w:spacing w:before="240"/>
        <w:ind w:right="544"/>
        <w:rPr>
          <w:rFonts w:ascii="Times New Roman" w:hAnsi="Times New Roman" w:cs="Arial"/>
          <w:sz w:val="20"/>
        </w:rPr>
      </w:pPr>
      <w:r>
        <w:rPr>
          <w:rFonts w:ascii="Times New Roman" w:hAnsi="Times New Roman" w:cs="Arial"/>
          <w:sz w:val="20"/>
        </w:rPr>
        <w:t xml:space="preserve">The request for state funds for capital improvements in FY2016 totals </w:t>
      </w:r>
      <w:r w:rsidRPr="00811255">
        <w:rPr>
          <w:rFonts w:ascii="Times New Roman" w:hAnsi="Times New Roman" w:cs="Arial"/>
          <w:sz w:val="20"/>
        </w:rPr>
        <w:t>$</w:t>
      </w:r>
      <w:r>
        <w:rPr>
          <w:rFonts w:ascii="Times New Roman" w:hAnsi="Times New Roman" w:cs="Arial"/>
          <w:sz w:val="20"/>
        </w:rPr>
        <w:t>278.9</w:t>
      </w:r>
      <w:r w:rsidRPr="004F1522">
        <w:rPr>
          <w:rFonts w:ascii="Times New Roman" w:hAnsi="Times New Roman" w:cs="Arial"/>
          <w:sz w:val="20"/>
        </w:rPr>
        <w:t xml:space="preserve"> million</w:t>
      </w:r>
      <w:r>
        <w:rPr>
          <w:rFonts w:ascii="Times New Roman" w:hAnsi="Times New Roman" w:cs="Arial"/>
          <w:sz w:val="20"/>
        </w:rPr>
        <w:t xml:space="preserve">, including </w:t>
      </w:r>
      <w:r w:rsidRPr="00811255">
        <w:rPr>
          <w:rFonts w:ascii="Times New Roman" w:hAnsi="Times New Roman" w:cs="Arial"/>
          <w:sz w:val="20"/>
        </w:rPr>
        <w:t>$</w:t>
      </w:r>
      <w:r>
        <w:rPr>
          <w:rFonts w:ascii="Times New Roman" w:hAnsi="Times New Roman" w:cs="Arial"/>
          <w:sz w:val="20"/>
        </w:rPr>
        <w:t>275.8</w:t>
      </w:r>
      <w:r w:rsidRPr="00811255">
        <w:rPr>
          <w:rFonts w:ascii="Times New Roman" w:hAnsi="Times New Roman" w:cs="Arial"/>
          <w:sz w:val="20"/>
        </w:rPr>
        <w:t xml:space="preserve"> million</w:t>
      </w:r>
      <w:r>
        <w:rPr>
          <w:rFonts w:ascii="Times New Roman" w:hAnsi="Times New Roman" w:cs="Arial"/>
          <w:sz w:val="20"/>
        </w:rPr>
        <w:t xml:space="preserve"> for five</w:t>
      </w:r>
      <w:r w:rsidRPr="004F1522">
        <w:rPr>
          <w:rFonts w:ascii="Times New Roman" w:hAnsi="Times New Roman" w:cs="Arial"/>
          <w:sz w:val="20"/>
        </w:rPr>
        <w:t xml:space="preserve"> major capital improvement </w:t>
      </w:r>
      <w:r>
        <w:rPr>
          <w:rFonts w:ascii="Times New Roman" w:hAnsi="Times New Roman" w:cs="Arial"/>
          <w:sz w:val="20"/>
        </w:rPr>
        <w:t>projects</w:t>
      </w:r>
      <w:r w:rsidRPr="00811255">
        <w:rPr>
          <w:rFonts w:ascii="Times New Roman" w:hAnsi="Times New Roman" w:cs="Arial"/>
          <w:sz w:val="20"/>
        </w:rPr>
        <w:t xml:space="preserve"> and</w:t>
      </w:r>
      <w:r>
        <w:rPr>
          <w:rFonts w:ascii="Times New Roman" w:hAnsi="Times New Roman" w:cs="Arial"/>
          <w:sz w:val="20"/>
        </w:rPr>
        <w:t xml:space="preserve"> $3.1 million for two </w:t>
      </w:r>
      <w:r w:rsidRPr="004F1522">
        <w:rPr>
          <w:rFonts w:ascii="Times New Roman" w:hAnsi="Times New Roman" w:cs="Arial"/>
          <w:sz w:val="20"/>
        </w:rPr>
        <w:t>capital</w:t>
      </w:r>
      <w:r>
        <w:rPr>
          <w:rFonts w:ascii="Times New Roman" w:hAnsi="Times New Roman" w:cs="Arial"/>
          <w:sz w:val="20"/>
        </w:rPr>
        <w:t xml:space="preserve"> renewal projects.</w:t>
      </w:r>
    </w:p>
    <w:p w14:paraId="39BCC0A9" w14:textId="77777777" w:rsidR="00661ED5" w:rsidRPr="004F1522" w:rsidRDefault="00661ED5" w:rsidP="00661ED5">
      <w:pPr>
        <w:ind w:right="544"/>
        <w:rPr>
          <w:rFonts w:ascii="Times New Roman" w:hAnsi="Times New Roman" w:cs="Arial"/>
          <w:sz w:val="20"/>
        </w:rPr>
      </w:pPr>
    </w:p>
    <w:p w14:paraId="1937DC74" w14:textId="77777777" w:rsidR="00661ED5" w:rsidRPr="00EE1197" w:rsidRDefault="00661ED5" w:rsidP="00661ED5">
      <w:pPr>
        <w:ind w:right="544"/>
        <w:jc w:val="center"/>
        <w:rPr>
          <w:rFonts w:ascii="Times New Roman" w:hAnsi="Times New Roman" w:cs="Arial"/>
          <w:b/>
          <w:sz w:val="20"/>
          <w:u w:val="single"/>
        </w:rPr>
      </w:pPr>
      <w:r>
        <w:rPr>
          <w:rFonts w:ascii="Times New Roman" w:hAnsi="Times New Roman" w:cs="Arial"/>
          <w:b/>
          <w:sz w:val="20"/>
          <w:u w:val="single"/>
        </w:rPr>
        <w:t>FY2016</w:t>
      </w:r>
      <w:r w:rsidRPr="00EE1197">
        <w:rPr>
          <w:rFonts w:ascii="Times New Roman" w:hAnsi="Times New Roman" w:cs="Arial"/>
          <w:b/>
          <w:sz w:val="20"/>
          <w:u w:val="single"/>
        </w:rPr>
        <w:t xml:space="preserve"> Capital Request</w:t>
      </w:r>
    </w:p>
    <w:p w14:paraId="0F110571" w14:textId="77777777" w:rsidR="00661ED5" w:rsidRPr="004F1522" w:rsidRDefault="00661ED5" w:rsidP="00661ED5">
      <w:pPr>
        <w:spacing w:before="240"/>
        <w:ind w:right="544"/>
        <w:rPr>
          <w:rFonts w:ascii="Times New Roman" w:hAnsi="Times New Roman" w:cs="Arial"/>
          <w:sz w:val="20"/>
        </w:rPr>
      </w:pPr>
      <w:r w:rsidRPr="004F1522">
        <w:rPr>
          <w:rFonts w:ascii="Times New Roman" w:hAnsi="Times New Roman" w:cs="Arial"/>
          <w:sz w:val="20"/>
        </w:rPr>
        <w:t>The major capital projects are listed in priority order below:</w:t>
      </w:r>
    </w:p>
    <w:p w14:paraId="1B0A757A" w14:textId="77777777" w:rsidR="00661ED5" w:rsidRPr="004F1522" w:rsidRDefault="00661ED5" w:rsidP="00661ED5">
      <w:pPr>
        <w:ind w:right="544"/>
        <w:rPr>
          <w:rFonts w:ascii="Times New Roman" w:hAnsi="Times New Roman" w:cs="Arial"/>
          <w:sz w:val="20"/>
        </w:rPr>
      </w:pPr>
      <w:r w:rsidRPr="004F1522">
        <w:rPr>
          <w:rFonts w:ascii="Times New Roman" w:hAnsi="Times New Roman" w:cs="Arial"/>
          <w:sz w:val="20"/>
        </w:rPr>
        <w:tab/>
      </w:r>
    </w:p>
    <w:p w14:paraId="7B499059" w14:textId="77777777" w:rsidR="00661ED5" w:rsidRPr="00624A12" w:rsidRDefault="00661ED5" w:rsidP="00661ED5">
      <w:pPr>
        <w:tabs>
          <w:tab w:val="left" w:pos="720"/>
          <w:tab w:val="decimal" w:pos="7920"/>
        </w:tabs>
        <w:ind w:right="544"/>
        <w:rPr>
          <w:rFonts w:ascii="Times New Roman" w:hAnsi="Times New Roman" w:cs="Arial"/>
          <w:sz w:val="20"/>
        </w:rPr>
      </w:pPr>
      <w:r w:rsidRPr="004F1522">
        <w:rPr>
          <w:rFonts w:ascii="Times New Roman" w:hAnsi="Times New Roman" w:cs="Arial"/>
          <w:sz w:val="20"/>
        </w:rPr>
        <w:tab/>
      </w:r>
      <w:r w:rsidRPr="00624A12">
        <w:rPr>
          <w:rFonts w:ascii="Times New Roman" w:hAnsi="Times New Roman" w:cs="Arial"/>
          <w:sz w:val="20"/>
        </w:rPr>
        <w:t>Milner Library Rehabilitation</w:t>
      </w:r>
      <w:r w:rsidRPr="00624A12">
        <w:rPr>
          <w:rFonts w:ascii="Times New Roman" w:hAnsi="Times New Roman" w:cs="Arial"/>
          <w:sz w:val="20"/>
        </w:rPr>
        <w:tab/>
      </w:r>
      <w:r>
        <w:rPr>
          <w:rFonts w:ascii="Times New Roman" w:hAnsi="Times New Roman" w:cs="Arial"/>
          <w:sz w:val="20"/>
        </w:rPr>
        <w:t>$  80,492</w:t>
      </w:r>
      <w:r w:rsidRPr="00624A12">
        <w:rPr>
          <w:rFonts w:ascii="Times New Roman" w:hAnsi="Times New Roman" w:cs="Arial"/>
          <w:sz w:val="20"/>
        </w:rPr>
        <w:t>,000</w:t>
      </w:r>
    </w:p>
    <w:p w14:paraId="5033AE07" w14:textId="77777777"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Mennonite College of Nursing Building</w:t>
      </w:r>
      <w:r w:rsidRPr="00624A12">
        <w:rPr>
          <w:rFonts w:ascii="Times New Roman" w:hAnsi="Times New Roman" w:cs="Arial"/>
          <w:sz w:val="20"/>
        </w:rPr>
        <w:tab/>
      </w:r>
      <w:r>
        <w:rPr>
          <w:rFonts w:ascii="Times New Roman" w:hAnsi="Times New Roman" w:cs="Arial"/>
          <w:sz w:val="20"/>
        </w:rPr>
        <w:t>27,560</w:t>
      </w:r>
      <w:r w:rsidRPr="00624A12">
        <w:rPr>
          <w:rFonts w:ascii="Times New Roman" w:hAnsi="Times New Roman" w:cs="Arial"/>
          <w:sz w:val="20"/>
        </w:rPr>
        <w:t>,000</w:t>
      </w:r>
    </w:p>
    <w:p w14:paraId="69A81A95" w14:textId="77777777"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College of Education Facilities Rehabilitation and Construction</w:t>
      </w:r>
      <w:r w:rsidRPr="00624A12">
        <w:rPr>
          <w:rFonts w:ascii="Times New Roman" w:hAnsi="Times New Roman" w:cs="Arial"/>
          <w:sz w:val="20"/>
        </w:rPr>
        <w:tab/>
      </w:r>
      <w:r>
        <w:rPr>
          <w:rFonts w:ascii="Times New Roman" w:hAnsi="Times New Roman" w:cs="Arial"/>
          <w:sz w:val="20"/>
        </w:rPr>
        <w:t>82,825</w:t>
      </w:r>
      <w:r w:rsidRPr="00624A12">
        <w:rPr>
          <w:rFonts w:ascii="Times New Roman" w:hAnsi="Times New Roman" w:cs="Arial"/>
          <w:sz w:val="20"/>
        </w:rPr>
        <w:t>,000</w:t>
      </w:r>
    </w:p>
    <w:p w14:paraId="7110B060" w14:textId="77777777"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r>
      <w:r w:rsidRPr="00624A12">
        <w:rPr>
          <w:rFonts w:ascii="Times New Roman" w:hAnsi="Times New Roman" w:cs="Arial"/>
          <w:sz w:val="20"/>
        </w:rPr>
        <w:tab/>
        <w:t>DeGarmo Hall Rehabilitation ($</w:t>
      </w:r>
      <w:r>
        <w:rPr>
          <w:rFonts w:ascii="Times New Roman" w:hAnsi="Times New Roman" w:cs="Arial"/>
          <w:sz w:val="20"/>
        </w:rPr>
        <w:t>33,130</w:t>
      </w:r>
      <w:r w:rsidRPr="00624A12">
        <w:rPr>
          <w:rFonts w:ascii="Times New Roman" w:hAnsi="Times New Roman" w:cs="Arial"/>
          <w:sz w:val="20"/>
        </w:rPr>
        <w:t>,000)</w:t>
      </w:r>
    </w:p>
    <w:p w14:paraId="284B4272" w14:textId="77777777"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r>
      <w:r w:rsidRPr="00624A12">
        <w:rPr>
          <w:rFonts w:ascii="Times New Roman" w:hAnsi="Times New Roman" w:cs="Arial"/>
          <w:sz w:val="20"/>
        </w:rPr>
        <w:tab/>
        <w:t>Thomas Metcalf School Replacement ($</w:t>
      </w:r>
      <w:r>
        <w:rPr>
          <w:rFonts w:ascii="Times New Roman" w:hAnsi="Times New Roman" w:cs="Arial"/>
          <w:sz w:val="20"/>
        </w:rPr>
        <w:t>49,695</w:t>
      </w:r>
      <w:r w:rsidRPr="00624A12">
        <w:rPr>
          <w:rFonts w:ascii="Times New Roman" w:hAnsi="Times New Roman" w:cs="Arial"/>
          <w:sz w:val="20"/>
        </w:rPr>
        <w:t>,000)</w:t>
      </w:r>
    </w:p>
    <w:p w14:paraId="6A40D4B8" w14:textId="77777777"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t>University High School Replacement</w:t>
      </w:r>
      <w:r w:rsidRPr="00624A12">
        <w:rPr>
          <w:rFonts w:ascii="Times New Roman" w:hAnsi="Times New Roman" w:cs="Arial"/>
          <w:sz w:val="20"/>
        </w:rPr>
        <w:tab/>
      </w:r>
      <w:r>
        <w:rPr>
          <w:rFonts w:ascii="Times New Roman" w:hAnsi="Times New Roman" w:cs="Arial"/>
          <w:sz w:val="20"/>
        </w:rPr>
        <w:t>55,120</w:t>
      </w:r>
      <w:r w:rsidRPr="00624A12">
        <w:rPr>
          <w:rFonts w:ascii="Times New Roman" w:hAnsi="Times New Roman" w:cs="Arial"/>
          <w:sz w:val="20"/>
        </w:rPr>
        <w:t>,000</w:t>
      </w:r>
    </w:p>
    <w:p w14:paraId="542D97B8" w14:textId="77777777"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Williams Hall Renovation</w:t>
      </w:r>
      <w:r w:rsidRPr="00624A12">
        <w:rPr>
          <w:rFonts w:ascii="Times New Roman" w:hAnsi="Times New Roman" w:cs="Arial"/>
          <w:sz w:val="20"/>
        </w:rPr>
        <w:tab/>
      </w:r>
      <w:r w:rsidRPr="00624A12">
        <w:rPr>
          <w:rFonts w:ascii="Times New Roman" w:hAnsi="Times New Roman" w:cs="Arial"/>
          <w:sz w:val="20"/>
          <w:u w:val="single"/>
        </w:rPr>
        <w:t xml:space="preserve">  </w:t>
      </w:r>
      <w:r>
        <w:rPr>
          <w:rFonts w:ascii="Times New Roman" w:hAnsi="Times New Roman" w:cs="Arial"/>
          <w:sz w:val="20"/>
          <w:u w:val="single"/>
        </w:rPr>
        <w:t>29,822</w:t>
      </w:r>
      <w:r w:rsidRPr="00624A12">
        <w:rPr>
          <w:rFonts w:ascii="Times New Roman" w:hAnsi="Times New Roman" w:cs="Arial"/>
          <w:sz w:val="20"/>
          <w:u w:val="single"/>
        </w:rPr>
        <w:t>,000</w:t>
      </w:r>
    </w:p>
    <w:p w14:paraId="742257DD" w14:textId="77777777" w:rsidR="00661ED5"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 xml:space="preserve"> </w:t>
      </w:r>
      <w:r w:rsidRPr="00624A12">
        <w:rPr>
          <w:rFonts w:ascii="Times New Roman" w:hAnsi="Times New Roman" w:cs="Arial"/>
          <w:sz w:val="20"/>
        </w:rPr>
        <w:tab/>
      </w:r>
      <w:r>
        <w:rPr>
          <w:rFonts w:ascii="Times New Roman" w:hAnsi="Times New Roman" w:cs="Arial"/>
          <w:sz w:val="20"/>
        </w:rPr>
        <w:t xml:space="preserve">     </w:t>
      </w:r>
    </w:p>
    <w:p w14:paraId="6491BA4F"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w:t>
      </w:r>
      <w:r w:rsidRPr="00624A12">
        <w:rPr>
          <w:rFonts w:ascii="Times New Roman" w:hAnsi="Times New Roman" w:cs="Arial"/>
          <w:sz w:val="20"/>
        </w:rPr>
        <w:t>Total</w:t>
      </w:r>
      <w:r w:rsidRPr="00624A12">
        <w:rPr>
          <w:rFonts w:ascii="Times New Roman" w:hAnsi="Times New Roman" w:cs="Arial"/>
          <w:sz w:val="20"/>
        </w:rPr>
        <w:tab/>
        <w:t>$</w:t>
      </w:r>
      <w:r>
        <w:rPr>
          <w:rFonts w:ascii="Times New Roman" w:hAnsi="Times New Roman" w:cs="Arial"/>
          <w:sz w:val="20"/>
        </w:rPr>
        <w:t>275,819</w:t>
      </w:r>
      <w:r w:rsidRPr="00624A12">
        <w:rPr>
          <w:rFonts w:ascii="Times New Roman" w:hAnsi="Times New Roman" w:cs="Arial"/>
          <w:sz w:val="20"/>
        </w:rPr>
        <w:t>,000</w:t>
      </w:r>
    </w:p>
    <w:p w14:paraId="45A560A9" w14:textId="77777777" w:rsidR="00661ED5" w:rsidRDefault="00661ED5" w:rsidP="00661ED5">
      <w:pPr>
        <w:tabs>
          <w:tab w:val="left" w:pos="720"/>
          <w:tab w:val="decimal" w:pos="7920"/>
        </w:tabs>
        <w:ind w:right="544"/>
        <w:rPr>
          <w:rFonts w:ascii="Times New Roman" w:hAnsi="Times New Roman" w:cs="Arial"/>
          <w:sz w:val="20"/>
        </w:rPr>
      </w:pPr>
    </w:p>
    <w:p w14:paraId="747A05D0" w14:textId="77777777" w:rsidR="00661ED5" w:rsidRPr="004F1522"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The major capital projects focus on addressing academic programmatic needs and ensuring that the University’s facilities promote excellence in instruction, research and service. They involve</w:t>
      </w:r>
      <w:r w:rsidRPr="00624A12">
        <w:rPr>
          <w:rFonts w:ascii="Times New Roman" w:hAnsi="Times New Roman" w:cs="Arial"/>
          <w:sz w:val="20"/>
        </w:rPr>
        <w:t xml:space="preserve"> renovating and upgrading existing academic facilities; addressing life-safety requirements;</w:t>
      </w:r>
      <w:r w:rsidRPr="004F1522">
        <w:rPr>
          <w:rFonts w:ascii="Times New Roman" w:hAnsi="Times New Roman" w:cs="Arial"/>
          <w:sz w:val="20"/>
        </w:rPr>
        <w:t xml:space="preserve"> replacing outdated mechanical, </w:t>
      </w:r>
      <w:r>
        <w:rPr>
          <w:rFonts w:ascii="Times New Roman" w:hAnsi="Times New Roman" w:cs="Arial"/>
          <w:sz w:val="20"/>
        </w:rPr>
        <w:t>electrical and plumbing systems;</w:t>
      </w:r>
      <w:r w:rsidRPr="004F1522">
        <w:rPr>
          <w:rFonts w:ascii="Times New Roman" w:hAnsi="Times New Roman" w:cs="Arial"/>
          <w:sz w:val="20"/>
        </w:rPr>
        <w:t xml:space="preserve"> and upgrading </w:t>
      </w:r>
      <w:r>
        <w:rPr>
          <w:rFonts w:ascii="Times New Roman" w:hAnsi="Times New Roman" w:cs="Arial"/>
          <w:sz w:val="20"/>
        </w:rPr>
        <w:t>utility and technology systems.</w:t>
      </w:r>
      <w:r w:rsidRPr="004F1522">
        <w:rPr>
          <w:rFonts w:ascii="Times New Roman" w:hAnsi="Times New Roman" w:cs="Arial"/>
          <w:sz w:val="20"/>
        </w:rPr>
        <w:t xml:space="preserve"> </w:t>
      </w:r>
      <w:r>
        <w:rPr>
          <w:rFonts w:ascii="Times New Roman" w:hAnsi="Times New Roman" w:cs="Arial"/>
          <w:sz w:val="20"/>
        </w:rPr>
        <w:t xml:space="preserve"> The projects also involve the construction of new facilities for the Mennonite College of Nursing and the University’s laboratory schools. </w:t>
      </w:r>
      <w:r w:rsidRPr="004F1522">
        <w:rPr>
          <w:rFonts w:ascii="Times New Roman" w:hAnsi="Times New Roman" w:cs="Arial"/>
          <w:sz w:val="20"/>
        </w:rPr>
        <w:t xml:space="preserve">A considerable amount of the University’s accumulated </w:t>
      </w:r>
      <w:r>
        <w:rPr>
          <w:rFonts w:ascii="Times New Roman" w:hAnsi="Times New Roman" w:cs="Arial"/>
          <w:sz w:val="20"/>
        </w:rPr>
        <w:t xml:space="preserve">deferred </w:t>
      </w:r>
      <w:r w:rsidRPr="004F1522">
        <w:rPr>
          <w:rFonts w:ascii="Times New Roman" w:hAnsi="Times New Roman" w:cs="Arial"/>
          <w:sz w:val="20"/>
        </w:rPr>
        <w:t xml:space="preserve">maintenance needs can be addressed through these projects. </w:t>
      </w:r>
      <w:r>
        <w:rPr>
          <w:rFonts w:ascii="Times New Roman" w:hAnsi="Times New Roman" w:cs="Arial"/>
          <w:sz w:val="20"/>
        </w:rPr>
        <w:t xml:space="preserve"> </w:t>
      </w:r>
    </w:p>
    <w:p w14:paraId="083DF547" w14:textId="77777777" w:rsidR="00661ED5" w:rsidRDefault="00661ED5" w:rsidP="00661ED5">
      <w:pPr>
        <w:spacing w:before="240"/>
        <w:ind w:right="544"/>
        <w:rPr>
          <w:rFonts w:ascii="Times New Roman" w:hAnsi="Times New Roman" w:cs="Arial"/>
          <w:sz w:val="20"/>
        </w:rPr>
      </w:pPr>
      <w:r>
        <w:rPr>
          <w:rFonts w:ascii="Times New Roman" w:hAnsi="Times New Roman" w:cs="Arial"/>
          <w:sz w:val="20"/>
        </w:rPr>
        <w:t xml:space="preserve">The state’s Capital Renewal Program provides resources for small remodeling, utilities and infrastructure projects.  Funds from the program are distributed proportionately among state colleges and universities based upon their nonresidential square footage. </w:t>
      </w:r>
      <w:r w:rsidRPr="004F1522">
        <w:rPr>
          <w:rFonts w:ascii="Times New Roman" w:hAnsi="Times New Roman" w:cs="Arial"/>
          <w:sz w:val="20"/>
        </w:rPr>
        <w:t>The Uni</w:t>
      </w:r>
      <w:r>
        <w:rPr>
          <w:rFonts w:ascii="Times New Roman" w:hAnsi="Times New Roman" w:cs="Arial"/>
          <w:sz w:val="20"/>
        </w:rPr>
        <w:t xml:space="preserve">versity’s allocation for FY2016 is expected to be </w:t>
      </w:r>
      <w:r w:rsidRPr="004F1522">
        <w:rPr>
          <w:rFonts w:ascii="Times New Roman" w:hAnsi="Times New Roman" w:cs="Arial"/>
          <w:sz w:val="20"/>
        </w:rPr>
        <w:t>$</w:t>
      </w:r>
      <w:r>
        <w:rPr>
          <w:rFonts w:ascii="Times New Roman" w:hAnsi="Times New Roman" w:cs="Arial"/>
          <w:sz w:val="20"/>
        </w:rPr>
        <w:t>3.1</w:t>
      </w:r>
      <w:r w:rsidRPr="004F1522">
        <w:rPr>
          <w:rFonts w:ascii="Times New Roman" w:hAnsi="Times New Roman" w:cs="Arial"/>
          <w:sz w:val="20"/>
        </w:rPr>
        <w:t xml:space="preserve"> million</w:t>
      </w:r>
      <w:r>
        <w:rPr>
          <w:rFonts w:ascii="Times New Roman" w:hAnsi="Times New Roman" w:cs="Arial"/>
          <w:sz w:val="20"/>
        </w:rPr>
        <w:t>.  The funds would be used</w:t>
      </w:r>
      <w:r w:rsidRPr="004F1522">
        <w:rPr>
          <w:rFonts w:ascii="Times New Roman" w:hAnsi="Times New Roman" w:cs="Arial"/>
          <w:sz w:val="20"/>
        </w:rPr>
        <w:t xml:space="preserve"> for the following:</w:t>
      </w:r>
    </w:p>
    <w:p w14:paraId="4BF749E2" w14:textId="77777777" w:rsidR="00661ED5" w:rsidRDefault="00661ED5" w:rsidP="00661ED5">
      <w:pPr>
        <w:tabs>
          <w:tab w:val="left" w:pos="720"/>
          <w:tab w:val="decimal" w:pos="7920"/>
        </w:tabs>
        <w:ind w:right="544"/>
        <w:rPr>
          <w:rFonts w:ascii="Times New Roman" w:hAnsi="Times New Roman" w:cs="Arial"/>
          <w:sz w:val="20"/>
        </w:rPr>
      </w:pPr>
    </w:p>
    <w:p w14:paraId="68DA3991"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Replace Exterior Doors and Windows in Metcalf,</w:t>
      </w:r>
    </w:p>
    <w:p w14:paraId="16DF610C" w14:textId="77777777" w:rsidR="00661ED5" w:rsidRPr="00624A12"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Fairchild and Rachel Cooper halls</w:t>
      </w:r>
      <w:r w:rsidRPr="00624A12">
        <w:rPr>
          <w:rFonts w:ascii="Times New Roman" w:hAnsi="Times New Roman" w:cs="Arial"/>
          <w:sz w:val="20"/>
        </w:rPr>
        <w:tab/>
        <w:t>$</w:t>
      </w:r>
      <w:r>
        <w:rPr>
          <w:rFonts w:ascii="Times New Roman" w:hAnsi="Times New Roman" w:cs="Arial"/>
          <w:sz w:val="20"/>
        </w:rPr>
        <w:t>2</w:t>
      </w:r>
      <w:r w:rsidRPr="00624A12">
        <w:rPr>
          <w:rFonts w:ascii="Times New Roman" w:hAnsi="Times New Roman" w:cs="Arial"/>
          <w:sz w:val="20"/>
        </w:rPr>
        <w:t>,</w:t>
      </w:r>
      <w:r>
        <w:rPr>
          <w:rFonts w:ascii="Times New Roman" w:hAnsi="Times New Roman" w:cs="Arial"/>
          <w:sz w:val="20"/>
        </w:rPr>
        <w:t>032</w:t>
      </w:r>
      <w:r w:rsidRPr="00624A12">
        <w:rPr>
          <w:rFonts w:ascii="Times New Roman" w:hAnsi="Times New Roman" w:cs="Arial"/>
          <w:sz w:val="20"/>
        </w:rPr>
        <w:t>,000</w:t>
      </w:r>
    </w:p>
    <w:p w14:paraId="129AB605" w14:textId="77777777" w:rsidR="00661ED5" w:rsidRDefault="00661ED5" w:rsidP="00661ED5">
      <w:pPr>
        <w:tabs>
          <w:tab w:val="left" w:pos="720"/>
          <w:tab w:val="decimal" w:pos="7920"/>
        </w:tabs>
        <w:ind w:right="544"/>
        <w:rPr>
          <w:rFonts w:ascii="Times New Roman" w:hAnsi="Times New Roman" w:cs="Arial"/>
          <w:sz w:val="20"/>
          <w:u w:val="single"/>
        </w:rPr>
      </w:pPr>
      <w:r w:rsidRPr="00624A12">
        <w:rPr>
          <w:rFonts w:ascii="Times New Roman" w:hAnsi="Times New Roman" w:cs="Arial"/>
          <w:sz w:val="20"/>
        </w:rPr>
        <w:tab/>
      </w:r>
      <w:r>
        <w:rPr>
          <w:rFonts w:ascii="Times New Roman" w:hAnsi="Times New Roman" w:cs="Arial"/>
          <w:sz w:val="20"/>
        </w:rPr>
        <w:t>Replace Emergency Generators</w:t>
      </w:r>
      <w:r>
        <w:rPr>
          <w:rFonts w:ascii="Times New Roman" w:hAnsi="Times New Roman" w:cs="Arial"/>
          <w:sz w:val="20"/>
        </w:rPr>
        <w:tab/>
      </w:r>
      <w:r w:rsidRPr="009B46EE">
        <w:rPr>
          <w:rFonts w:ascii="Times New Roman" w:hAnsi="Times New Roman" w:cs="Arial"/>
          <w:sz w:val="20"/>
          <w:u w:val="single"/>
        </w:rPr>
        <w:t>1,</w:t>
      </w:r>
      <w:r>
        <w:rPr>
          <w:rFonts w:ascii="Times New Roman" w:hAnsi="Times New Roman" w:cs="Arial"/>
          <w:sz w:val="20"/>
          <w:u w:val="single"/>
        </w:rPr>
        <w:t>0</w:t>
      </w:r>
      <w:r w:rsidRPr="009B46EE">
        <w:rPr>
          <w:rFonts w:ascii="Times New Roman" w:hAnsi="Times New Roman" w:cs="Arial"/>
          <w:sz w:val="20"/>
          <w:u w:val="single"/>
        </w:rPr>
        <w:t>32,000</w:t>
      </w:r>
    </w:p>
    <w:p w14:paraId="54459B2F" w14:textId="77777777" w:rsidR="00661ED5"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r>
      <w:r>
        <w:rPr>
          <w:rFonts w:ascii="Times New Roman" w:hAnsi="Times New Roman" w:cs="Arial"/>
          <w:sz w:val="20"/>
        </w:rPr>
        <w:t xml:space="preserve">     </w:t>
      </w:r>
    </w:p>
    <w:p w14:paraId="0D5F2ADA"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Total</w:t>
      </w:r>
      <w:r>
        <w:rPr>
          <w:rFonts w:ascii="Times New Roman" w:hAnsi="Times New Roman" w:cs="Arial"/>
          <w:sz w:val="20"/>
        </w:rPr>
        <w:tab/>
        <w:t>$3,064,000</w:t>
      </w:r>
    </w:p>
    <w:p w14:paraId="16FB9955" w14:textId="77777777" w:rsidR="00661ED5" w:rsidRDefault="00661ED5" w:rsidP="00661ED5">
      <w:pPr>
        <w:tabs>
          <w:tab w:val="left" w:pos="720"/>
          <w:tab w:val="decimal" w:pos="7920"/>
        </w:tabs>
        <w:ind w:right="544"/>
        <w:rPr>
          <w:rFonts w:ascii="Times New Roman" w:hAnsi="Times New Roman" w:cs="Arial"/>
          <w:sz w:val="20"/>
        </w:rPr>
      </w:pPr>
    </w:p>
    <w:p w14:paraId="4D3604D4" w14:textId="77777777" w:rsidR="00661ED5" w:rsidRDefault="00661ED5" w:rsidP="00661ED5">
      <w:pPr>
        <w:tabs>
          <w:tab w:val="left" w:pos="720"/>
          <w:tab w:val="decimal" w:pos="7920"/>
        </w:tabs>
        <w:ind w:right="544"/>
        <w:rPr>
          <w:rFonts w:ascii="Times New Roman" w:hAnsi="Times New Roman" w:cs="Arial"/>
          <w:sz w:val="20"/>
        </w:rPr>
      </w:pPr>
    </w:p>
    <w:p w14:paraId="2C6426A3" w14:textId="77777777" w:rsidR="00661ED5" w:rsidRPr="00624A12" w:rsidRDefault="00661ED5" w:rsidP="00661ED5">
      <w:pPr>
        <w:tabs>
          <w:tab w:val="left" w:pos="720"/>
          <w:tab w:val="decimal" w:pos="7920"/>
        </w:tabs>
        <w:ind w:right="544"/>
        <w:rPr>
          <w:rFonts w:ascii="Times New Roman" w:hAnsi="Times New Roman" w:cs="Arial"/>
          <w:sz w:val="20"/>
        </w:rPr>
      </w:pPr>
    </w:p>
    <w:p w14:paraId="192B0B17" w14:textId="77777777" w:rsidR="00661ED5" w:rsidRDefault="00661ED5" w:rsidP="00661ED5">
      <w:pPr>
        <w:tabs>
          <w:tab w:val="left" w:pos="990"/>
          <w:tab w:val="left" w:pos="1440"/>
          <w:tab w:val="right" w:pos="7920"/>
        </w:tabs>
        <w:ind w:right="544"/>
        <w:rPr>
          <w:rFonts w:ascii="Times New Roman" w:hAnsi="Times New Roman" w:cs="Arial"/>
          <w:sz w:val="20"/>
        </w:rPr>
      </w:pPr>
    </w:p>
    <w:p w14:paraId="20B1929B" w14:textId="77777777" w:rsidR="00661ED5" w:rsidRDefault="00661ED5" w:rsidP="00661ED5">
      <w:pPr>
        <w:tabs>
          <w:tab w:val="left" w:pos="990"/>
          <w:tab w:val="left" w:pos="1440"/>
          <w:tab w:val="right" w:pos="7920"/>
        </w:tabs>
        <w:ind w:right="544"/>
        <w:rPr>
          <w:rFonts w:ascii="Times New Roman" w:hAnsi="Times New Roman" w:cs="Arial"/>
          <w:sz w:val="20"/>
        </w:rPr>
      </w:pPr>
    </w:p>
    <w:p w14:paraId="23553CF6" w14:textId="77777777" w:rsidR="00661ED5" w:rsidRDefault="00661ED5" w:rsidP="00661ED5">
      <w:pPr>
        <w:tabs>
          <w:tab w:val="left" w:pos="990"/>
          <w:tab w:val="left" w:pos="1440"/>
          <w:tab w:val="right" w:pos="7920"/>
        </w:tabs>
        <w:ind w:right="544"/>
        <w:rPr>
          <w:rFonts w:ascii="Times New Roman" w:hAnsi="Times New Roman" w:cs="Arial"/>
          <w:sz w:val="20"/>
        </w:rPr>
      </w:pPr>
      <w:r w:rsidRPr="004F1522">
        <w:rPr>
          <w:rFonts w:ascii="Times New Roman" w:hAnsi="Times New Roman" w:cs="Arial"/>
          <w:sz w:val="20"/>
        </w:rPr>
        <w:lastRenderedPageBreak/>
        <w:t>Summary descriptions of each of the requ</w:t>
      </w:r>
      <w:r>
        <w:rPr>
          <w:rFonts w:ascii="Times New Roman" w:hAnsi="Times New Roman" w:cs="Arial"/>
          <w:sz w:val="20"/>
        </w:rPr>
        <w:t>ested capital projects follow.</w:t>
      </w:r>
    </w:p>
    <w:p w14:paraId="18106769" w14:textId="77777777" w:rsidR="00661ED5" w:rsidRPr="00A97F50" w:rsidRDefault="00661ED5" w:rsidP="00661ED5">
      <w:pPr>
        <w:pStyle w:val="Heading1"/>
        <w:tabs>
          <w:tab w:val="left" w:pos="990"/>
          <w:tab w:val="left" w:pos="2160"/>
          <w:tab w:val="right" w:pos="7920"/>
        </w:tabs>
        <w:ind w:right="544"/>
        <w:rPr>
          <w:rFonts w:ascii="Times New Roman" w:hAnsi="Times New Roman"/>
          <w:sz w:val="20"/>
          <w:u w:val="single"/>
        </w:rPr>
      </w:pPr>
      <w:r w:rsidRPr="00A97F50">
        <w:rPr>
          <w:rFonts w:ascii="Times New Roman" w:hAnsi="Times New Roman"/>
          <w:sz w:val="20"/>
          <w:u w:val="single"/>
        </w:rPr>
        <w:t>Milner Library Rehabilitation</w:t>
      </w:r>
      <w:r w:rsidRPr="00A97F50">
        <w:rPr>
          <w:rFonts w:ascii="Times New Roman" w:hAnsi="Times New Roman"/>
          <w:sz w:val="20"/>
          <w:u w:val="single"/>
        </w:rPr>
        <w:tab/>
        <w:t>$</w:t>
      </w:r>
      <w:r>
        <w:rPr>
          <w:rFonts w:ascii="Times New Roman" w:hAnsi="Times New Roman"/>
          <w:sz w:val="20"/>
          <w:u w:val="single"/>
        </w:rPr>
        <w:t>80,492</w:t>
      </w:r>
      <w:r w:rsidRPr="00A97F50">
        <w:rPr>
          <w:rFonts w:ascii="Times New Roman" w:hAnsi="Times New Roman"/>
          <w:sz w:val="20"/>
          <w:u w:val="single"/>
        </w:rPr>
        <w:t>,000</w:t>
      </w:r>
    </w:p>
    <w:p w14:paraId="485BE9E8" w14:textId="77777777" w:rsidR="00661ED5" w:rsidRPr="00A43F40" w:rsidRDefault="00661ED5" w:rsidP="00661ED5">
      <w:pPr>
        <w:tabs>
          <w:tab w:val="left" w:pos="990"/>
          <w:tab w:val="left" w:pos="2160"/>
          <w:tab w:val="right" w:pos="7920"/>
        </w:tabs>
        <w:ind w:right="544"/>
        <w:rPr>
          <w:rFonts w:ascii="Times New Roman" w:hAnsi="Times New Roman" w:cs="Arial"/>
          <w:b/>
          <w:sz w:val="20"/>
        </w:rPr>
      </w:pPr>
    </w:p>
    <w:p w14:paraId="09293D0E" w14:textId="77777777" w:rsidR="00661ED5" w:rsidRPr="002D39BE" w:rsidRDefault="00661ED5" w:rsidP="00661ED5">
      <w:pPr>
        <w:tabs>
          <w:tab w:val="left" w:pos="990"/>
          <w:tab w:val="left" w:pos="1440"/>
          <w:tab w:val="right" w:pos="7920"/>
          <w:tab w:val="left" w:pos="9000"/>
        </w:tabs>
        <w:ind w:right="364"/>
        <w:rPr>
          <w:rFonts w:ascii="Times New Roman" w:hAnsi="Times New Roman"/>
          <w:color w:val="000000"/>
          <w:sz w:val="20"/>
        </w:rPr>
      </w:pPr>
      <w:r w:rsidRPr="002D39BE">
        <w:rPr>
          <w:rFonts w:ascii="Times New Roman" w:hAnsi="Times New Roman"/>
          <w:color w:val="000000"/>
          <w:sz w:val="20"/>
        </w:rPr>
        <w:t xml:space="preserve">This project will involve construction of additional space, renovations to the existing Milner Library, and necessary site improvements and modifications to accommodate library improvement and sustainability.  The full scope of each of these improvements (addition/renovation/site) will be developed during the design process.  Functional program elements include library book stacks, study areas, library processing and support spaces and high-density storage of library materials.  This project should be transformative to convert Milner into an integrated learning center providing reference areas, work areas, electronic retrieval areas, collaborative work areas, conferencing areas, and faculty and student self-service areas.   Project goals include the development of student group study areas, space for interactive technologies, exhibition spaces, staff work areas, and the reconfiguration of all of the shelving on each floor to accommodate accessibility.  Improvements include enhancements to the building envelope, plumbing, heating, ventilating, air conditioning and electrical services to incorporate the requirements of the </w:t>
      </w:r>
      <w:r w:rsidRPr="002D39BE">
        <w:rPr>
          <w:rFonts w:ascii="Times New Roman" w:hAnsi="Times New Roman"/>
          <w:bCs/>
          <w:sz w:val="20"/>
        </w:rPr>
        <w:t xml:space="preserve">Capital Development Board’s Green Building Guidelines for State Construction. </w:t>
      </w:r>
      <w:r w:rsidRPr="002D39BE">
        <w:rPr>
          <w:rFonts w:ascii="Times New Roman" w:hAnsi="Times New Roman"/>
          <w:sz w:val="20"/>
        </w:rPr>
        <w:t xml:space="preserve">This project is recommended in the </w:t>
      </w:r>
      <w:r w:rsidRPr="002D39BE">
        <w:rPr>
          <w:rFonts w:ascii="Times New Roman" w:hAnsi="Times New Roman"/>
          <w:i/>
          <w:sz w:val="20"/>
        </w:rPr>
        <w:t>Master Plan 2010-2030</w:t>
      </w:r>
      <w:r w:rsidRPr="002D39BE">
        <w:rPr>
          <w:rFonts w:ascii="Times New Roman" w:hAnsi="Times New Roman"/>
          <w:sz w:val="20"/>
        </w:rPr>
        <w:t>, endorsed by the Board of Trustees in February 2011.</w:t>
      </w:r>
    </w:p>
    <w:p w14:paraId="0E17F86A" w14:textId="77777777" w:rsidR="00661ED5"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624A12">
        <w:rPr>
          <w:rFonts w:ascii="Times New Roman" w:hAnsi="Times New Roman"/>
          <w:sz w:val="20"/>
          <w:u w:val="single"/>
        </w:rPr>
        <w:t>Mennonite Col</w:t>
      </w:r>
      <w:r>
        <w:rPr>
          <w:rFonts w:ascii="Times New Roman" w:hAnsi="Times New Roman"/>
          <w:sz w:val="20"/>
          <w:u w:val="single"/>
        </w:rPr>
        <w:t>lege of Nursing Building</w:t>
      </w:r>
      <w:r>
        <w:rPr>
          <w:rFonts w:ascii="Times New Roman" w:hAnsi="Times New Roman"/>
          <w:sz w:val="20"/>
          <w:u w:val="single"/>
        </w:rPr>
        <w:tab/>
        <w:t>$27,560</w:t>
      </w:r>
      <w:r w:rsidRPr="00624A12">
        <w:rPr>
          <w:rFonts w:ascii="Times New Roman" w:hAnsi="Times New Roman"/>
          <w:sz w:val="20"/>
          <w:u w:val="single"/>
        </w:rPr>
        <w:t>,000</w:t>
      </w:r>
    </w:p>
    <w:p w14:paraId="48A1A212" w14:textId="77777777" w:rsidR="00661ED5" w:rsidRPr="00A43F40" w:rsidRDefault="00661ED5" w:rsidP="00661ED5">
      <w:pPr>
        <w:tabs>
          <w:tab w:val="left" w:pos="9000"/>
        </w:tabs>
        <w:ind w:right="364"/>
        <w:rPr>
          <w:rFonts w:ascii="Times New Roman" w:hAnsi="Times New Roman"/>
          <w:sz w:val="20"/>
        </w:rPr>
      </w:pPr>
    </w:p>
    <w:p w14:paraId="7BD362C7" w14:textId="77777777"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 xml:space="preserve">This project will provide for the construction of a new home for the Mennonite College of Nursing.  The new facility will be </w:t>
      </w:r>
      <w:r>
        <w:rPr>
          <w:rFonts w:ascii="Times New Roman" w:hAnsi="Times New Roman"/>
          <w:sz w:val="20"/>
        </w:rPr>
        <w:t>approximately</w:t>
      </w:r>
      <w:r w:rsidRPr="002D39BE">
        <w:rPr>
          <w:rFonts w:ascii="Times New Roman" w:hAnsi="Times New Roman"/>
          <w:sz w:val="20"/>
        </w:rPr>
        <w:t xml:space="preserve"> 60,000 square feet to meet current needs and future growth. This space will include offices for College faculty and staff, meeting rooms, conference rooms, and a variety of teaching classrooms</w:t>
      </w:r>
      <w:r>
        <w:rPr>
          <w:rFonts w:ascii="Times New Roman" w:hAnsi="Times New Roman"/>
          <w:sz w:val="20"/>
        </w:rPr>
        <w:t xml:space="preserve"> and laboratories</w:t>
      </w:r>
      <w:r w:rsidRPr="002D39BE">
        <w:rPr>
          <w:rFonts w:ascii="Times New Roman" w:hAnsi="Times New Roman"/>
          <w:sz w:val="20"/>
        </w:rPr>
        <w:t xml:space="preserve"> that are special to the needs of the nursing program.  Preliminary planning suggests that this should provide for the College to grow to over 1,000 students.  The building will be sited to best address the specific goals and requirements of the program, which not only include instruction but also the clinical health care industry relationships.  This project is recommended in </w:t>
      </w:r>
      <w:r w:rsidRPr="002D39BE">
        <w:rPr>
          <w:rFonts w:ascii="Times New Roman" w:hAnsi="Times New Roman"/>
          <w:i/>
          <w:sz w:val="20"/>
        </w:rPr>
        <w:t>Master Plan 2010-2030</w:t>
      </w:r>
      <w:r w:rsidRPr="002D39BE">
        <w:rPr>
          <w:rFonts w:ascii="Times New Roman" w:hAnsi="Times New Roman"/>
          <w:sz w:val="20"/>
        </w:rPr>
        <w:t xml:space="preserve">. </w:t>
      </w:r>
    </w:p>
    <w:p w14:paraId="77816F1D" w14:textId="77777777" w:rsidR="00661ED5" w:rsidRPr="00D7720E"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D7720E">
        <w:rPr>
          <w:rFonts w:ascii="Times New Roman" w:hAnsi="Times New Roman"/>
          <w:sz w:val="20"/>
          <w:u w:val="single"/>
        </w:rPr>
        <w:t>College of Education Facilities Reh</w:t>
      </w:r>
      <w:r>
        <w:rPr>
          <w:rFonts w:ascii="Times New Roman" w:hAnsi="Times New Roman"/>
          <w:sz w:val="20"/>
          <w:u w:val="single"/>
        </w:rPr>
        <w:t>abilitation and Construction</w:t>
      </w:r>
      <w:r>
        <w:rPr>
          <w:rFonts w:ascii="Times New Roman" w:hAnsi="Times New Roman"/>
          <w:sz w:val="20"/>
          <w:u w:val="single"/>
        </w:rPr>
        <w:tab/>
        <w:t>$82,825</w:t>
      </w:r>
      <w:r w:rsidRPr="00D7720E">
        <w:rPr>
          <w:rFonts w:ascii="Times New Roman" w:hAnsi="Times New Roman"/>
          <w:sz w:val="20"/>
          <w:u w:val="single"/>
        </w:rPr>
        <w:t>,000</w:t>
      </w:r>
    </w:p>
    <w:p w14:paraId="3B90B148" w14:textId="77777777" w:rsidR="00661ED5" w:rsidRPr="00624A12" w:rsidRDefault="00661ED5" w:rsidP="00661ED5">
      <w:pPr>
        <w:tabs>
          <w:tab w:val="left" w:pos="720"/>
          <w:tab w:val="left" w:pos="9000"/>
        </w:tabs>
        <w:ind w:right="364"/>
        <w:rPr>
          <w:rFonts w:ascii="Times New Roman" w:hAnsi="Times New Roman"/>
          <w:b/>
          <w:sz w:val="20"/>
        </w:rPr>
      </w:pPr>
      <w:r w:rsidRPr="00624A12">
        <w:rPr>
          <w:rFonts w:ascii="Times New Roman" w:hAnsi="Times New Roman"/>
          <w:b/>
          <w:sz w:val="20"/>
        </w:rPr>
        <w:tab/>
        <w:t>De</w:t>
      </w:r>
      <w:r>
        <w:rPr>
          <w:rFonts w:ascii="Times New Roman" w:hAnsi="Times New Roman"/>
          <w:b/>
          <w:sz w:val="20"/>
        </w:rPr>
        <w:t>Garmo Hall Rehabilitation ($33,130</w:t>
      </w:r>
      <w:r w:rsidRPr="00624A12">
        <w:rPr>
          <w:rFonts w:ascii="Times New Roman" w:hAnsi="Times New Roman"/>
          <w:b/>
          <w:sz w:val="20"/>
        </w:rPr>
        <w:t>,000)</w:t>
      </w:r>
    </w:p>
    <w:p w14:paraId="38EDF9D6" w14:textId="77777777" w:rsidR="00661ED5" w:rsidRPr="00D7720E" w:rsidRDefault="00661ED5" w:rsidP="00661ED5">
      <w:pPr>
        <w:tabs>
          <w:tab w:val="left" w:pos="720"/>
          <w:tab w:val="left" w:pos="9000"/>
        </w:tabs>
        <w:ind w:right="364"/>
        <w:rPr>
          <w:rFonts w:ascii="Times New Roman" w:hAnsi="Times New Roman"/>
          <w:b/>
          <w:sz w:val="20"/>
        </w:rPr>
      </w:pPr>
      <w:r w:rsidRPr="00D7720E">
        <w:rPr>
          <w:rFonts w:ascii="Times New Roman" w:hAnsi="Times New Roman"/>
          <w:b/>
          <w:sz w:val="20"/>
        </w:rPr>
        <w:tab/>
        <w:t>Thomas</w:t>
      </w:r>
      <w:r>
        <w:rPr>
          <w:rFonts w:ascii="Times New Roman" w:hAnsi="Times New Roman"/>
          <w:b/>
          <w:sz w:val="20"/>
        </w:rPr>
        <w:t xml:space="preserve"> Metcalf School Replacement ($49,695</w:t>
      </w:r>
      <w:r w:rsidRPr="00D7720E">
        <w:rPr>
          <w:rFonts w:ascii="Times New Roman" w:hAnsi="Times New Roman"/>
          <w:b/>
          <w:sz w:val="20"/>
        </w:rPr>
        <w:t>,000)</w:t>
      </w:r>
    </w:p>
    <w:p w14:paraId="1C96690D" w14:textId="77777777" w:rsidR="00661ED5" w:rsidRDefault="00661ED5" w:rsidP="00661ED5">
      <w:pPr>
        <w:tabs>
          <w:tab w:val="left" w:pos="990"/>
          <w:tab w:val="left" w:pos="1440"/>
          <w:tab w:val="right" w:pos="7920"/>
          <w:tab w:val="left" w:pos="9000"/>
        </w:tabs>
        <w:ind w:right="364"/>
      </w:pPr>
    </w:p>
    <w:p w14:paraId="5148D730" w14:textId="77777777" w:rsidR="00661ED5" w:rsidRPr="002D39BE" w:rsidRDefault="00661ED5" w:rsidP="00661ED5">
      <w:pPr>
        <w:tabs>
          <w:tab w:val="left" w:pos="990"/>
          <w:tab w:val="left" w:pos="2160"/>
          <w:tab w:val="right" w:pos="7920"/>
          <w:tab w:val="left" w:pos="9000"/>
        </w:tabs>
        <w:ind w:right="364"/>
        <w:rPr>
          <w:rFonts w:ascii="Times New Roman" w:hAnsi="Times New Roman"/>
          <w:color w:val="000000"/>
          <w:sz w:val="20"/>
        </w:rPr>
      </w:pPr>
      <w:r w:rsidRPr="002D39BE">
        <w:rPr>
          <w:rFonts w:ascii="Times New Roman" w:hAnsi="Times New Roman"/>
          <w:sz w:val="20"/>
        </w:rPr>
        <w:t xml:space="preserve">This project provides for rehabilitation of DeGarmo Hall and construction of a new Thomas Metcalf School laboratory school. </w:t>
      </w:r>
      <w:r w:rsidRPr="002D39BE">
        <w:rPr>
          <w:rFonts w:ascii="Times New Roman" w:hAnsi="Times New Roman"/>
          <w:color w:val="000000"/>
          <w:sz w:val="20"/>
        </w:rPr>
        <w:t>DeGarmo Hall, home of the College of Education, was built in 1972 and has five-levels in addition to a basement.  The facility has approximately 101,703 gross square feet.</w:t>
      </w:r>
      <w:r>
        <w:rPr>
          <w:rFonts w:ascii="Times New Roman" w:hAnsi="Times New Roman"/>
          <w:color w:val="000000"/>
          <w:sz w:val="20"/>
        </w:rPr>
        <w:t xml:space="preserve">  The facility </w:t>
      </w:r>
      <w:r w:rsidRPr="002D39BE">
        <w:rPr>
          <w:rFonts w:ascii="Times New Roman" w:hAnsi="Times New Roman"/>
          <w:color w:val="000000"/>
          <w:sz w:val="20"/>
        </w:rPr>
        <w:t xml:space="preserve">features a unique “center core” design with less than adequate energy efficient building envelopes and obsolete floor plans. The “curtain wall” exterior has deteriorated to a point where it is difficult to maintain and repair.  The open plaza at the first level of the building (which is above occupied spaces) is in various stages of deterioration with water infiltration which must be repaired, replaced or modified in order to maintain a functioning building.   The current interior spaces need to be reconfigured to better serve current program requirements. All existing mechanical, electrical, and plumbing (MEP) components of the infrastructure are original and have exceeded their standard life expectancy of 30 years.  All these systems are in need of total replacement.  The quality of the office and program spaces is deficient and </w:t>
      </w:r>
      <w:r>
        <w:rPr>
          <w:rFonts w:ascii="Times New Roman" w:hAnsi="Times New Roman"/>
          <w:color w:val="000000"/>
          <w:sz w:val="20"/>
        </w:rPr>
        <w:t xml:space="preserve">does not adequately </w:t>
      </w:r>
      <w:r w:rsidRPr="002D39BE">
        <w:rPr>
          <w:rFonts w:ascii="Times New Roman" w:hAnsi="Times New Roman"/>
          <w:color w:val="000000"/>
          <w:sz w:val="20"/>
        </w:rPr>
        <w:t xml:space="preserve">support existing and future needs of this academic community. </w:t>
      </w:r>
    </w:p>
    <w:p w14:paraId="72742081" w14:textId="77777777" w:rsidR="00661ED5" w:rsidRPr="002D39BE" w:rsidRDefault="00661ED5" w:rsidP="00661ED5">
      <w:pPr>
        <w:tabs>
          <w:tab w:val="left" w:pos="990"/>
          <w:tab w:val="left" w:pos="1440"/>
          <w:tab w:val="right" w:pos="7920"/>
          <w:tab w:val="left" w:pos="9000"/>
        </w:tabs>
        <w:ind w:right="364"/>
        <w:rPr>
          <w:rFonts w:ascii="Times New Roman" w:hAnsi="Times New Roman"/>
          <w:sz w:val="20"/>
        </w:rPr>
      </w:pPr>
    </w:p>
    <w:p w14:paraId="6C0FED6C" w14:textId="77777777"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 xml:space="preserve">The Thomas Metcalf School building was constructed in 1955 and houses the University’s laboratory school for kindergarten through the eighth grade. The facility does not meet current program or </w:t>
      </w:r>
      <w:r>
        <w:rPr>
          <w:rFonts w:ascii="Times New Roman" w:hAnsi="Times New Roman"/>
          <w:sz w:val="20"/>
        </w:rPr>
        <w:t>e</w:t>
      </w:r>
      <w:r w:rsidRPr="002D39BE">
        <w:rPr>
          <w:rFonts w:ascii="Times New Roman" w:hAnsi="Times New Roman"/>
          <w:sz w:val="20"/>
        </w:rPr>
        <w:t xml:space="preserve">ducational pedagogy models. </w:t>
      </w:r>
      <w:r>
        <w:rPr>
          <w:rFonts w:ascii="Times New Roman" w:hAnsi="Times New Roman"/>
          <w:sz w:val="20"/>
        </w:rPr>
        <w:t>It</w:t>
      </w:r>
      <w:r w:rsidRPr="002D39BE">
        <w:rPr>
          <w:rFonts w:ascii="Times New Roman" w:hAnsi="Times New Roman"/>
          <w:sz w:val="20"/>
        </w:rPr>
        <w:t xml:space="preserve"> is outdated, aging and contains significant amounts of asbestos</w:t>
      </w:r>
      <w:r>
        <w:rPr>
          <w:rFonts w:ascii="Times New Roman" w:hAnsi="Times New Roman"/>
          <w:sz w:val="20"/>
        </w:rPr>
        <w:t xml:space="preserve"> containing materials</w:t>
      </w:r>
      <w:r w:rsidRPr="002D39BE">
        <w:rPr>
          <w:rFonts w:ascii="Times New Roman" w:hAnsi="Times New Roman"/>
          <w:sz w:val="20"/>
        </w:rPr>
        <w:t>. The infrastructure is beyond normal service life expectancy and is in extremely poor condition. The Facilities Condition Assessment Report identifies the mechanical, electrical, plumbing, and fire alarm systems are in need of replacement. In addition the swimming pool structure has failed and is no longer in service.  More importantly, the geographic location on the campus is problematic with poor vehicular access to the building and less than adequate outdoor space for the elementary school-aged children. It is critical to construct a larger, modern laboratory school to resolve those inadequacies that now exist and to meet the 21st first century requirements on campus.</w:t>
      </w:r>
    </w:p>
    <w:p w14:paraId="3A142C1D" w14:textId="77777777" w:rsidR="00661ED5" w:rsidRDefault="00661ED5" w:rsidP="00661ED5">
      <w:pPr>
        <w:tabs>
          <w:tab w:val="left" w:pos="990"/>
          <w:tab w:val="left" w:pos="1440"/>
          <w:tab w:val="right" w:pos="7920"/>
          <w:tab w:val="left" w:pos="9000"/>
        </w:tabs>
        <w:spacing w:before="240"/>
        <w:ind w:right="364"/>
        <w:rPr>
          <w:rFonts w:ascii="Times New Roman" w:hAnsi="Times New Roman" w:cs="Arial"/>
          <w:sz w:val="20"/>
        </w:rPr>
      </w:pPr>
    </w:p>
    <w:p w14:paraId="32ED3352" w14:textId="77777777" w:rsidR="00661ED5" w:rsidRDefault="00661ED5" w:rsidP="00661ED5">
      <w:pPr>
        <w:tabs>
          <w:tab w:val="left" w:pos="990"/>
          <w:tab w:val="left" w:pos="1440"/>
          <w:tab w:val="right" w:pos="7920"/>
          <w:tab w:val="left" w:pos="9000"/>
        </w:tabs>
        <w:spacing w:before="240"/>
        <w:ind w:right="364"/>
        <w:rPr>
          <w:rFonts w:ascii="Times New Roman" w:hAnsi="Times New Roman" w:cs="Arial"/>
          <w:sz w:val="20"/>
        </w:rPr>
      </w:pPr>
    </w:p>
    <w:p w14:paraId="50D6A203" w14:textId="77777777" w:rsidR="00661ED5" w:rsidRPr="004F1522"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Pr>
          <w:rFonts w:ascii="Times New Roman" w:hAnsi="Times New Roman"/>
          <w:sz w:val="20"/>
          <w:u w:val="single"/>
        </w:rPr>
        <w:lastRenderedPageBreak/>
        <w:t>University High School Replacement</w:t>
      </w:r>
      <w:r w:rsidRPr="002E6543">
        <w:rPr>
          <w:rFonts w:ascii="Times New Roman" w:hAnsi="Times New Roman"/>
          <w:sz w:val="20"/>
          <w:u w:val="single"/>
        </w:rPr>
        <w:tab/>
        <w:t>$</w:t>
      </w:r>
      <w:r>
        <w:rPr>
          <w:rFonts w:ascii="Times New Roman" w:hAnsi="Times New Roman"/>
          <w:sz w:val="20"/>
          <w:u w:val="single"/>
        </w:rPr>
        <w:t>55,120</w:t>
      </w:r>
      <w:r w:rsidRPr="002E6543">
        <w:rPr>
          <w:rFonts w:ascii="Times New Roman" w:hAnsi="Times New Roman"/>
          <w:sz w:val="20"/>
          <w:u w:val="single"/>
        </w:rPr>
        <w:t>,000</w:t>
      </w:r>
    </w:p>
    <w:p w14:paraId="55122308" w14:textId="77777777" w:rsidR="00661ED5" w:rsidRDefault="00661ED5" w:rsidP="00661ED5">
      <w:pPr>
        <w:tabs>
          <w:tab w:val="left" w:pos="990"/>
          <w:tab w:val="left" w:pos="2160"/>
          <w:tab w:val="right" w:pos="7920"/>
          <w:tab w:val="left" w:pos="9000"/>
        </w:tabs>
        <w:ind w:right="364"/>
        <w:rPr>
          <w:rFonts w:ascii="Times New Roman" w:hAnsi="Times New Roman"/>
          <w:sz w:val="20"/>
        </w:rPr>
      </w:pPr>
    </w:p>
    <w:p w14:paraId="33D6D0DC" w14:textId="77777777"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The current University High School building was constructed in 1965 and houses the University’s laboratory school for ninth through twelfth grades. The facility is outdated and aging, and the mechanical, electrical, plumbing, and fire alarm systems are in dire need of upgrading or replacement.  Its geographic location on the campus is problematic with poor vehicular access to the building and less than adequate outdoor space. This project provides for the construction of a larger, modern laboratory school to meet the 21</w:t>
      </w:r>
      <w:r w:rsidRPr="002D39BE">
        <w:rPr>
          <w:rFonts w:ascii="Times New Roman" w:hAnsi="Times New Roman"/>
          <w:sz w:val="20"/>
          <w:vertAlign w:val="superscript"/>
        </w:rPr>
        <w:t>st</w:t>
      </w:r>
      <w:r w:rsidRPr="002D39BE">
        <w:rPr>
          <w:rFonts w:ascii="Times New Roman" w:hAnsi="Times New Roman"/>
          <w:sz w:val="20"/>
        </w:rPr>
        <w:t xml:space="preserve"> century requirements on campus.  This project is recommended in </w:t>
      </w:r>
      <w:r w:rsidRPr="002D39BE">
        <w:rPr>
          <w:rFonts w:ascii="Times New Roman" w:hAnsi="Times New Roman"/>
          <w:i/>
          <w:sz w:val="20"/>
        </w:rPr>
        <w:t>Master Plan 2010-2030</w:t>
      </w:r>
      <w:r w:rsidRPr="002D39BE">
        <w:rPr>
          <w:rFonts w:ascii="Times New Roman" w:hAnsi="Times New Roman"/>
          <w:sz w:val="20"/>
        </w:rPr>
        <w:t>.</w:t>
      </w:r>
    </w:p>
    <w:p w14:paraId="5317516D" w14:textId="77777777" w:rsidR="00661ED5" w:rsidRPr="004F1522"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2E6543">
        <w:rPr>
          <w:rFonts w:ascii="Times New Roman" w:hAnsi="Times New Roman"/>
          <w:sz w:val="20"/>
          <w:u w:val="single"/>
        </w:rPr>
        <w:t>Williams Hall Renovation</w:t>
      </w:r>
      <w:r w:rsidRPr="002E6543">
        <w:rPr>
          <w:rFonts w:ascii="Times New Roman" w:hAnsi="Times New Roman"/>
          <w:sz w:val="20"/>
          <w:u w:val="single"/>
        </w:rPr>
        <w:tab/>
        <w:t>$</w:t>
      </w:r>
      <w:r>
        <w:rPr>
          <w:rFonts w:ascii="Times New Roman" w:hAnsi="Times New Roman"/>
          <w:sz w:val="20"/>
          <w:u w:val="single"/>
        </w:rPr>
        <w:t>29,822</w:t>
      </w:r>
      <w:r w:rsidRPr="002E6543">
        <w:rPr>
          <w:rFonts w:ascii="Times New Roman" w:hAnsi="Times New Roman"/>
          <w:sz w:val="20"/>
          <w:u w:val="single"/>
        </w:rPr>
        <w:t>,000</w:t>
      </w:r>
    </w:p>
    <w:p w14:paraId="409BA3B4" w14:textId="77777777" w:rsidR="00661ED5" w:rsidRDefault="00661ED5" w:rsidP="00661ED5">
      <w:pPr>
        <w:tabs>
          <w:tab w:val="left" w:pos="990"/>
          <w:tab w:val="left" w:pos="1440"/>
          <w:tab w:val="right" w:pos="7920"/>
          <w:tab w:val="left" w:pos="9000"/>
        </w:tabs>
        <w:ind w:right="364"/>
        <w:rPr>
          <w:rFonts w:ascii="Times New Roman" w:hAnsi="Times New Roman"/>
          <w:sz w:val="20"/>
        </w:rPr>
      </w:pPr>
    </w:p>
    <w:p w14:paraId="2DE419D1" w14:textId="77777777"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 xml:space="preserve">This project will rehabilitate Williams Hall, which was originally built in 1940 as the University Library.  The project will renovate the interior of the building and replace and/or upgrade the building’s mechanical, electrical and plumbing systems.  The former library stack structure in the center of the building will be dismantled, making better use of the space and permitting natural light to infiltrate the center of the building through an interior light court.  The remodeling will correct code deficiencies, remove asbestos, replace the original architectural windows, replace the slate roof, and bring the structure back to its original architectural significance.  The building is on a prominent site on the Quadrangle and represents a classic form of collegiate Georgian style architecture. After renovation, Williams Hall would be utilized as classroom and office space for academic and University programs.  This project is recommended in </w:t>
      </w:r>
      <w:r w:rsidRPr="002D39BE">
        <w:rPr>
          <w:rFonts w:ascii="Times New Roman" w:hAnsi="Times New Roman"/>
          <w:i/>
          <w:sz w:val="20"/>
        </w:rPr>
        <w:t>Master Plan 2010-2030</w:t>
      </w:r>
      <w:r w:rsidRPr="002D39BE">
        <w:rPr>
          <w:rFonts w:ascii="Times New Roman" w:hAnsi="Times New Roman"/>
          <w:sz w:val="20"/>
        </w:rPr>
        <w:t>.</w:t>
      </w:r>
    </w:p>
    <w:p w14:paraId="22BF3035" w14:textId="77777777" w:rsidR="00661ED5" w:rsidRDefault="00661ED5" w:rsidP="00661ED5">
      <w:pPr>
        <w:tabs>
          <w:tab w:val="left" w:pos="990"/>
          <w:tab w:val="left" w:pos="2160"/>
          <w:tab w:val="right" w:pos="7920"/>
          <w:tab w:val="left" w:pos="9000"/>
        </w:tabs>
        <w:ind w:right="364"/>
        <w:rPr>
          <w:rFonts w:ascii="Times New Roman" w:hAnsi="Times New Roman" w:cs="Arial"/>
          <w:sz w:val="20"/>
        </w:rPr>
      </w:pPr>
    </w:p>
    <w:p w14:paraId="1BA92D75"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 xml:space="preserve">Replace Exterior Doors and Windows in </w:t>
      </w:r>
      <w:r>
        <w:rPr>
          <w:rFonts w:ascii="Times New Roman" w:hAnsi="Times New Roman"/>
          <w:b/>
          <w:sz w:val="20"/>
          <w:u w:val="single"/>
        </w:rPr>
        <w:t>Metcalf School,</w:t>
      </w:r>
    </w:p>
    <w:p w14:paraId="4441B0EE" w14:textId="14FF035C"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 xml:space="preserve">Fairchild Hall and Rachel Cooper </w:t>
      </w:r>
      <w:r w:rsidRPr="00206795">
        <w:rPr>
          <w:rFonts w:ascii="Times New Roman" w:hAnsi="Times New Roman"/>
          <w:b/>
          <w:sz w:val="20"/>
          <w:u w:val="single"/>
        </w:rPr>
        <w:tab/>
        <w:t>$</w:t>
      </w:r>
      <w:r>
        <w:rPr>
          <w:rFonts w:ascii="Times New Roman" w:hAnsi="Times New Roman"/>
          <w:b/>
          <w:sz w:val="20"/>
          <w:u w:val="single"/>
        </w:rPr>
        <w:t>2</w:t>
      </w:r>
      <w:r w:rsidRPr="00206795">
        <w:rPr>
          <w:rFonts w:ascii="Times New Roman" w:hAnsi="Times New Roman"/>
          <w:b/>
          <w:sz w:val="20"/>
          <w:u w:val="single"/>
        </w:rPr>
        <w:t>,</w:t>
      </w:r>
      <w:r>
        <w:rPr>
          <w:rFonts w:ascii="Times New Roman" w:hAnsi="Times New Roman"/>
          <w:b/>
          <w:sz w:val="20"/>
          <w:u w:val="single"/>
        </w:rPr>
        <w:t>0</w:t>
      </w:r>
      <w:r w:rsidRPr="00206795">
        <w:rPr>
          <w:rFonts w:ascii="Times New Roman" w:hAnsi="Times New Roman"/>
          <w:b/>
          <w:sz w:val="20"/>
          <w:u w:val="single"/>
        </w:rPr>
        <w:t>32,000</w:t>
      </w:r>
    </w:p>
    <w:p w14:paraId="272D629E"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rPr>
      </w:pPr>
    </w:p>
    <w:p w14:paraId="132D1E2B"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Metcalf School, Fairchild Hall, and Rachel Cooper were constructed in the early 1950’s.  Metcalf School is the elementary laboratory school for the University’s College of Education, its chief function to provide a living laboratory to aid in the education of future teachers.  Fairchild Hall and Rachel Cooper house a variety of functions including M</w:t>
      </w:r>
      <w:r>
        <w:rPr>
          <w:rFonts w:ascii="Times New Roman" w:hAnsi="Times New Roman"/>
          <w:sz w:val="20"/>
        </w:rPr>
        <w:t xml:space="preserve">etcalf School, Social Work and </w:t>
      </w:r>
      <w:r w:rsidRPr="002D39BE">
        <w:rPr>
          <w:rFonts w:ascii="Times New Roman" w:hAnsi="Times New Roman"/>
          <w:sz w:val="20"/>
        </w:rPr>
        <w:t>Speech and Hearing.  These three buildings are all physically connected to one another.</w:t>
      </w:r>
    </w:p>
    <w:p w14:paraId="44EB1822"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p>
    <w:p w14:paraId="0A09B941"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The windows in these facilities are original to the building.  These are single pane, un-insulated units with no energy efficient components.  This project will replace the windows in these buildings.</w:t>
      </w:r>
    </w:p>
    <w:p w14:paraId="3214B17B" w14:textId="77777777" w:rsidR="00661ED5" w:rsidRDefault="00661ED5" w:rsidP="00661ED5">
      <w:pPr>
        <w:tabs>
          <w:tab w:val="left" w:pos="990"/>
          <w:tab w:val="left" w:pos="1440"/>
          <w:tab w:val="right" w:pos="7920"/>
          <w:tab w:val="left" w:pos="9000"/>
        </w:tabs>
        <w:ind w:right="364"/>
        <w:rPr>
          <w:rFonts w:ascii="Times New Roman" w:hAnsi="Times New Roman"/>
          <w:b/>
          <w:sz w:val="20"/>
        </w:rPr>
      </w:pPr>
    </w:p>
    <w:p w14:paraId="5EE97E5E"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rPr>
      </w:pPr>
    </w:p>
    <w:p w14:paraId="3EA1CF50"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Replace Emergency Generators in Various Buildings</w:t>
      </w:r>
      <w:r w:rsidRPr="00206795">
        <w:rPr>
          <w:rFonts w:ascii="Times New Roman" w:hAnsi="Times New Roman"/>
          <w:b/>
          <w:sz w:val="20"/>
          <w:u w:val="single"/>
        </w:rPr>
        <w:tab/>
        <w:t>$1,</w:t>
      </w:r>
      <w:r>
        <w:rPr>
          <w:rFonts w:ascii="Times New Roman" w:hAnsi="Times New Roman"/>
          <w:b/>
          <w:sz w:val="20"/>
          <w:u w:val="single"/>
        </w:rPr>
        <w:t>0</w:t>
      </w:r>
      <w:r w:rsidRPr="00206795">
        <w:rPr>
          <w:rFonts w:ascii="Times New Roman" w:hAnsi="Times New Roman"/>
          <w:b/>
          <w:sz w:val="20"/>
          <w:u w:val="single"/>
        </w:rPr>
        <w:t>32,000</w:t>
      </w:r>
    </w:p>
    <w:p w14:paraId="609B10DE" w14:textId="77777777" w:rsidR="00661ED5" w:rsidRPr="00206795" w:rsidRDefault="00661ED5" w:rsidP="00661ED5">
      <w:pPr>
        <w:tabs>
          <w:tab w:val="left" w:pos="9000"/>
        </w:tabs>
        <w:ind w:right="364"/>
        <w:jc w:val="both"/>
        <w:rPr>
          <w:rFonts w:ascii="Times New Roman" w:hAnsi="Times New Roman"/>
          <w:sz w:val="20"/>
        </w:rPr>
      </w:pPr>
    </w:p>
    <w:p w14:paraId="37E30890"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Many of the facilities on the main campus of Illinois State University have emergency generator support.  This has been a conscientious effort over the past several decades to provide the support necessary for those critical functions, mostly life-safety, in the buildings.</w:t>
      </w:r>
    </w:p>
    <w:p w14:paraId="1BCC5614"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w:t>
      </w:r>
    </w:p>
    <w:p w14:paraId="090F07F9"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This project will evaluate ISU’s current inventory of emergency generators on campus and create a project to replace three generators and the necessary associated transfer and distribution equipment.  A part of this project an evaluation will include a review of current generator size and capacity and additional components within the facility that need to be on emergency power.</w:t>
      </w:r>
    </w:p>
    <w:p w14:paraId="23944F9D" w14:textId="77777777" w:rsidR="00A165BB" w:rsidRPr="00206795" w:rsidRDefault="00A165BB" w:rsidP="00A165BB">
      <w:pPr>
        <w:tabs>
          <w:tab w:val="left" w:pos="990"/>
          <w:tab w:val="left" w:pos="2160"/>
          <w:tab w:val="right" w:pos="7920"/>
        </w:tabs>
        <w:rPr>
          <w:rFonts w:ascii="Times New Roman" w:hAnsi="Times New Roman"/>
          <w:sz w:val="20"/>
        </w:rPr>
      </w:pPr>
    </w:p>
    <w:p w14:paraId="65679169" w14:textId="77777777" w:rsidR="00A97F50" w:rsidRDefault="00A97F50" w:rsidP="00A97F50">
      <w:pPr>
        <w:ind w:right="544"/>
        <w:jc w:val="center"/>
        <w:rPr>
          <w:rFonts w:ascii="Times New Roman" w:hAnsi="Times New Roman" w:cs="Arial"/>
          <w:b/>
          <w:sz w:val="20"/>
        </w:rPr>
      </w:pPr>
    </w:p>
    <w:sectPr w:rsidR="00A97F50" w:rsidSect="00A44A69">
      <w:footerReference w:type="default" r:id="rId9"/>
      <w:pgSz w:w="12240" w:h="15840" w:code="1"/>
      <w:pgMar w:top="806" w:right="806" w:bottom="1440" w:left="1800" w:header="1440"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664C" w14:textId="77777777" w:rsidR="002D72B5" w:rsidRDefault="002D72B5">
      <w:r>
        <w:separator/>
      </w:r>
    </w:p>
  </w:endnote>
  <w:endnote w:type="continuationSeparator" w:id="0">
    <w:p w14:paraId="31787E48" w14:textId="77777777" w:rsidR="002D72B5" w:rsidRDefault="002D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653C" w14:textId="5560C9D6" w:rsidR="002D72B5" w:rsidRDefault="002D72B5" w:rsidP="006D7851">
    <w:pPr>
      <w:pStyle w:val="Footer"/>
      <w:tabs>
        <w:tab w:val="clear" w:pos="4320"/>
        <w:tab w:val="clear" w:pos="8640"/>
      </w:tabs>
      <w:ind w:right="-270"/>
      <w:rPr>
        <w:rFonts w:ascii="Times New Roman" w:hAnsi="Times New Roman"/>
        <w:sz w:val="20"/>
        <w:u w:val="single"/>
      </w:rPr>
    </w:pPr>
    <w:r>
      <w:rPr>
        <w:rFonts w:ascii="Times New Roman" w:hAnsi="Times New Roman"/>
        <w:sz w:val="20"/>
        <w:u w:val="single"/>
      </w:rPr>
      <w:t xml:space="preserve">Board of Trustees of Illinois State University FY2016 Appropriated Budget Request: Operating and Capital             Page </w:t>
    </w:r>
    <w:r w:rsidRPr="00A44A69">
      <w:rPr>
        <w:rFonts w:ascii="Times New Roman" w:hAnsi="Times New Roman"/>
        <w:sz w:val="20"/>
        <w:u w:val="single"/>
      </w:rPr>
      <w:t xml:space="preserve"> </w:t>
    </w:r>
    <w:r w:rsidRPr="00A44A69">
      <w:rPr>
        <w:rFonts w:ascii="Times New Roman" w:hAnsi="Times New Roman"/>
        <w:sz w:val="20"/>
        <w:u w:val="single"/>
      </w:rPr>
      <w:fldChar w:fldCharType="begin"/>
    </w:r>
    <w:r w:rsidRPr="00A44A69">
      <w:rPr>
        <w:rFonts w:ascii="Times New Roman" w:hAnsi="Times New Roman"/>
        <w:sz w:val="20"/>
        <w:u w:val="single"/>
      </w:rPr>
      <w:instrText xml:space="preserve"> PAGE </w:instrText>
    </w:r>
    <w:r w:rsidRPr="00A44A69">
      <w:rPr>
        <w:rFonts w:ascii="Times New Roman" w:hAnsi="Times New Roman"/>
        <w:sz w:val="20"/>
        <w:u w:val="single"/>
      </w:rPr>
      <w:fldChar w:fldCharType="separate"/>
    </w:r>
    <w:r w:rsidR="00976D37">
      <w:rPr>
        <w:rFonts w:ascii="Times New Roman" w:hAnsi="Times New Roman"/>
        <w:noProof/>
        <w:sz w:val="20"/>
        <w:u w:val="single"/>
      </w:rPr>
      <w:t>2</w:t>
    </w:r>
    <w:r w:rsidRPr="00A44A69">
      <w:rPr>
        <w:rFonts w:ascii="Times New Roman" w:hAnsi="Times New Roman"/>
        <w:sz w:val="20"/>
        <w:u w:val="single"/>
      </w:rPr>
      <w:fldChar w:fldCharType="end"/>
    </w:r>
  </w:p>
  <w:p w14:paraId="28A08365" w14:textId="392893E1" w:rsidR="002D72B5" w:rsidRDefault="002D72B5" w:rsidP="00FC78F5">
    <w:pPr>
      <w:pStyle w:val="Footer"/>
      <w:tabs>
        <w:tab w:val="clear" w:pos="4320"/>
        <w:tab w:val="clear" w:pos="8640"/>
      </w:tabs>
      <w:ind w:right="-270"/>
    </w:pPr>
    <w:r>
      <w:rPr>
        <w:rFonts w:ascii="Times New Roman" w:hAnsi="Times New Roman"/>
        <w:sz w:val="20"/>
      </w:rPr>
      <w:t>10/24/2014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703B" w14:textId="77777777" w:rsidR="002D72B5" w:rsidRDefault="002D72B5">
      <w:r>
        <w:separator/>
      </w:r>
    </w:p>
  </w:footnote>
  <w:footnote w:type="continuationSeparator" w:id="0">
    <w:p w14:paraId="5EBA4084" w14:textId="77777777" w:rsidR="002D72B5" w:rsidRDefault="002D7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2FD0"/>
    <w:multiLevelType w:val="hybridMultilevel"/>
    <w:tmpl w:val="FCEC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51"/>
    <w:rsid w:val="000004A5"/>
    <w:rsid w:val="0000538B"/>
    <w:rsid w:val="00007BE2"/>
    <w:rsid w:val="0001359A"/>
    <w:rsid w:val="00013E7C"/>
    <w:rsid w:val="0002548E"/>
    <w:rsid w:val="00027578"/>
    <w:rsid w:val="00033302"/>
    <w:rsid w:val="00035D4F"/>
    <w:rsid w:val="000468D6"/>
    <w:rsid w:val="00054AAA"/>
    <w:rsid w:val="00064926"/>
    <w:rsid w:val="000651EF"/>
    <w:rsid w:val="00077639"/>
    <w:rsid w:val="00087AF5"/>
    <w:rsid w:val="0009002F"/>
    <w:rsid w:val="00093162"/>
    <w:rsid w:val="000A5BDE"/>
    <w:rsid w:val="000B200B"/>
    <w:rsid w:val="000E513C"/>
    <w:rsid w:val="000F07D9"/>
    <w:rsid w:val="000F12D6"/>
    <w:rsid w:val="000F165F"/>
    <w:rsid w:val="000F19D0"/>
    <w:rsid w:val="000F2F14"/>
    <w:rsid w:val="000F772D"/>
    <w:rsid w:val="0010403B"/>
    <w:rsid w:val="00107B23"/>
    <w:rsid w:val="00111322"/>
    <w:rsid w:val="00122611"/>
    <w:rsid w:val="0012670C"/>
    <w:rsid w:val="00126EDF"/>
    <w:rsid w:val="00156E81"/>
    <w:rsid w:val="00172F4D"/>
    <w:rsid w:val="00175BE7"/>
    <w:rsid w:val="00176B58"/>
    <w:rsid w:val="001925C8"/>
    <w:rsid w:val="00197D26"/>
    <w:rsid w:val="001A287E"/>
    <w:rsid w:val="001A7B06"/>
    <w:rsid w:val="001B07E9"/>
    <w:rsid w:val="001D7FE8"/>
    <w:rsid w:val="001E1D14"/>
    <w:rsid w:val="00206795"/>
    <w:rsid w:val="00232535"/>
    <w:rsid w:val="00236CCC"/>
    <w:rsid w:val="00241A5F"/>
    <w:rsid w:val="00252F3A"/>
    <w:rsid w:val="0025324E"/>
    <w:rsid w:val="002544D6"/>
    <w:rsid w:val="002616DA"/>
    <w:rsid w:val="0028506F"/>
    <w:rsid w:val="0029171F"/>
    <w:rsid w:val="00296A03"/>
    <w:rsid w:val="002A0C2B"/>
    <w:rsid w:val="002A18F2"/>
    <w:rsid w:val="002B75C5"/>
    <w:rsid w:val="002C41D0"/>
    <w:rsid w:val="002D2675"/>
    <w:rsid w:val="002D72B5"/>
    <w:rsid w:val="002E402E"/>
    <w:rsid w:val="002E617B"/>
    <w:rsid w:val="002F67E7"/>
    <w:rsid w:val="003002DC"/>
    <w:rsid w:val="00311421"/>
    <w:rsid w:val="00312A72"/>
    <w:rsid w:val="00313ED2"/>
    <w:rsid w:val="00317241"/>
    <w:rsid w:val="003235E8"/>
    <w:rsid w:val="00323E7D"/>
    <w:rsid w:val="00330E6E"/>
    <w:rsid w:val="00332146"/>
    <w:rsid w:val="00332CD5"/>
    <w:rsid w:val="0034056A"/>
    <w:rsid w:val="0035013D"/>
    <w:rsid w:val="0037410D"/>
    <w:rsid w:val="003862D1"/>
    <w:rsid w:val="003879ED"/>
    <w:rsid w:val="003A3FF5"/>
    <w:rsid w:val="003B7D77"/>
    <w:rsid w:val="003C20EE"/>
    <w:rsid w:val="003C7FE4"/>
    <w:rsid w:val="003D27C4"/>
    <w:rsid w:val="003D47B4"/>
    <w:rsid w:val="003D5D88"/>
    <w:rsid w:val="003D799A"/>
    <w:rsid w:val="00404CC6"/>
    <w:rsid w:val="004103A8"/>
    <w:rsid w:val="00411091"/>
    <w:rsid w:val="00415571"/>
    <w:rsid w:val="004526EA"/>
    <w:rsid w:val="00453CE2"/>
    <w:rsid w:val="004576D7"/>
    <w:rsid w:val="00460B4C"/>
    <w:rsid w:val="004616DB"/>
    <w:rsid w:val="00470575"/>
    <w:rsid w:val="004874C2"/>
    <w:rsid w:val="00496134"/>
    <w:rsid w:val="004A0FCD"/>
    <w:rsid w:val="004A6047"/>
    <w:rsid w:val="004B7E0F"/>
    <w:rsid w:val="004B7FF9"/>
    <w:rsid w:val="004C2AFB"/>
    <w:rsid w:val="004C4400"/>
    <w:rsid w:val="004C4A6A"/>
    <w:rsid w:val="004C6130"/>
    <w:rsid w:val="004D0E8C"/>
    <w:rsid w:val="004D1759"/>
    <w:rsid w:val="004E033C"/>
    <w:rsid w:val="004E1331"/>
    <w:rsid w:val="004F1FA1"/>
    <w:rsid w:val="004F2F70"/>
    <w:rsid w:val="00502497"/>
    <w:rsid w:val="00503902"/>
    <w:rsid w:val="00507B31"/>
    <w:rsid w:val="00513CC5"/>
    <w:rsid w:val="00522840"/>
    <w:rsid w:val="00527C56"/>
    <w:rsid w:val="00535CD2"/>
    <w:rsid w:val="00546772"/>
    <w:rsid w:val="00547385"/>
    <w:rsid w:val="00552A2B"/>
    <w:rsid w:val="005653C9"/>
    <w:rsid w:val="00591258"/>
    <w:rsid w:val="0059640B"/>
    <w:rsid w:val="005A65BC"/>
    <w:rsid w:val="005B67DB"/>
    <w:rsid w:val="005D76D8"/>
    <w:rsid w:val="005F16AE"/>
    <w:rsid w:val="005F2993"/>
    <w:rsid w:val="00600BE5"/>
    <w:rsid w:val="00613748"/>
    <w:rsid w:val="00617B5B"/>
    <w:rsid w:val="00621DC3"/>
    <w:rsid w:val="00622E32"/>
    <w:rsid w:val="00624993"/>
    <w:rsid w:val="006470AD"/>
    <w:rsid w:val="00656AE6"/>
    <w:rsid w:val="00661ED5"/>
    <w:rsid w:val="00683DB3"/>
    <w:rsid w:val="00694B9C"/>
    <w:rsid w:val="006A7369"/>
    <w:rsid w:val="006B4916"/>
    <w:rsid w:val="006B780F"/>
    <w:rsid w:val="006C7ADD"/>
    <w:rsid w:val="006D285D"/>
    <w:rsid w:val="006D7851"/>
    <w:rsid w:val="006E3269"/>
    <w:rsid w:val="006F6EEB"/>
    <w:rsid w:val="00712124"/>
    <w:rsid w:val="007127D6"/>
    <w:rsid w:val="0073253D"/>
    <w:rsid w:val="00736AAA"/>
    <w:rsid w:val="00740C70"/>
    <w:rsid w:val="007526F7"/>
    <w:rsid w:val="00752E57"/>
    <w:rsid w:val="00760E11"/>
    <w:rsid w:val="00767485"/>
    <w:rsid w:val="0077777D"/>
    <w:rsid w:val="00795147"/>
    <w:rsid w:val="0079619C"/>
    <w:rsid w:val="007A3E49"/>
    <w:rsid w:val="007A42F3"/>
    <w:rsid w:val="007C028E"/>
    <w:rsid w:val="007C170D"/>
    <w:rsid w:val="007C53D2"/>
    <w:rsid w:val="007D11C9"/>
    <w:rsid w:val="007D4CE6"/>
    <w:rsid w:val="007E0D2D"/>
    <w:rsid w:val="007F6354"/>
    <w:rsid w:val="007F7D0A"/>
    <w:rsid w:val="00811255"/>
    <w:rsid w:val="00814BCF"/>
    <w:rsid w:val="00820DCD"/>
    <w:rsid w:val="00824392"/>
    <w:rsid w:val="00854276"/>
    <w:rsid w:val="00855809"/>
    <w:rsid w:val="00860592"/>
    <w:rsid w:val="00870922"/>
    <w:rsid w:val="008960CB"/>
    <w:rsid w:val="008A0A49"/>
    <w:rsid w:val="008A49A7"/>
    <w:rsid w:val="008B1DF3"/>
    <w:rsid w:val="008B2E29"/>
    <w:rsid w:val="008C12FD"/>
    <w:rsid w:val="008C5F5B"/>
    <w:rsid w:val="008F31EA"/>
    <w:rsid w:val="00905893"/>
    <w:rsid w:val="009064B4"/>
    <w:rsid w:val="00916043"/>
    <w:rsid w:val="00924FE2"/>
    <w:rsid w:val="009301F9"/>
    <w:rsid w:val="00942279"/>
    <w:rsid w:val="009553B9"/>
    <w:rsid w:val="00961246"/>
    <w:rsid w:val="00961915"/>
    <w:rsid w:val="0097042C"/>
    <w:rsid w:val="00976D37"/>
    <w:rsid w:val="00977131"/>
    <w:rsid w:val="00987C61"/>
    <w:rsid w:val="009A0C1B"/>
    <w:rsid w:val="009B46EE"/>
    <w:rsid w:val="009C1A48"/>
    <w:rsid w:val="009D28FC"/>
    <w:rsid w:val="009D6F59"/>
    <w:rsid w:val="009E19BB"/>
    <w:rsid w:val="009F29B8"/>
    <w:rsid w:val="009F5A01"/>
    <w:rsid w:val="009F77CB"/>
    <w:rsid w:val="00A11031"/>
    <w:rsid w:val="00A13699"/>
    <w:rsid w:val="00A165BB"/>
    <w:rsid w:val="00A27710"/>
    <w:rsid w:val="00A4068E"/>
    <w:rsid w:val="00A44A69"/>
    <w:rsid w:val="00A52782"/>
    <w:rsid w:val="00A56CBD"/>
    <w:rsid w:val="00A61890"/>
    <w:rsid w:val="00A655BF"/>
    <w:rsid w:val="00A67BC1"/>
    <w:rsid w:val="00A771CE"/>
    <w:rsid w:val="00A904D9"/>
    <w:rsid w:val="00A90C14"/>
    <w:rsid w:val="00A9150F"/>
    <w:rsid w:val="00A91EC1"/>
    <w:rsid w:val="00A95DC8"/>
    <w:rsid w:val="00A97F50"/>
    <w:rsid w:val="00AA46B8"/>
    <w:rsid w:val="00AB129B"/>
    <w:rsid w:val="00AC2D0E"/>
    <w:rsid w:val="00AC6FE6"/>
    <w:rsid w:val="00AE2C82"/>
    <w:rsid w:val="00AF13AE"/>
    <w:rsid w:val="00AF3284"/>
    <w:rsid w:val="00AF3C1D"/>
    <w:rsid w:val="00B11BA0"/>
    <w:rsid w:val="00B27372"/>
    <w:rsid w:val="00B40A55"/>
    <w:rsid w:val="00B437E5"/>
    <w:rsid w:val="00B63B95"/>
    <w:rsid w:val="00B67A4A"/>
    <w:rsid w:val="00B92E00"/>
    <w:rsid w:val="00BA3E15"/>
    <w:rsid w:val="00BA470A"/>
    <w:rsid w:val="00BB4331"/>
    <w:rsid w:val="00BB4BE9"/>
    <w:rsid w:val="00BC055D"/>
    <w:rsid w:val="00BC0781"/>
    <w:rsid w:val="00BC3CA3"/>
    <w:rsid w:val="00BC4DEC"/>
    <w:rsid w:val="00BD0F91"/>
    <w:rsid w:val="00BD2DAE"/>
    <w:rsid w:val="00BE093A"/>
    <w:rsid w:val="00BE40B3"/>
    <w:rsid w:val="00BE42A9"/>
    <w:rsid w:val="00C117D2"/>
    <w:rsid w:val="00C137CE"/>
    <w:rsid w:val="00C34C0D"/>
    <w:rsid w:val="00C47FE3"/>
    <w:rsid w:val="00C5221F"/>
    <w:rsid w:val="00C543C6"/>
    <w:rsid w:val="00C609B9"/>
    <w:rsid w:val="00C76372"/>
    <w:rsid w:val="00C83068"/>
    <w:rsid w:val="00C850DC"/>
    <w:rsid w:val="00CA5092"/>
    <w:rsid w:val="00CE1AD5"/>
    <w:rsid w:val="00CE5049"/>
    <w:rsid w:val="00CE6668"/>
    <w:rsid w:val="00CF7F28"/>
    <w:rsid w:val="00D145DD"/>
    <w:rsid w:val="00D233D7"/>
    <w:rsid w:val="00D25CE6"/>
    <w:rsid w:val="00D33C27"/>
    <w:rsid w:val="00D50B39"/>
    <w:rsid w:val="00D521AD"/>
    <w:rsid w:val="00D56BB2"/>
    <w:rsid w:val="00D63018"/>
    <w:rsid w:val="00D71078"/>
    <w:rsid w:val="00D7407C"/>
    <w:rsid w:val="00D80D2A"/>
    <w:rsid w:val="00D91B56"/>
    <w:rsid w:val="00D94829"/>
    <w:rsid w:val="00DB2A46"/>
    <w:rsid w:val="00DC3D0F"/>
    <w:rsid w:val="00DC47C7"/>
    <w:rsid w:val="00DD0E12"/>
    <w:rsid w:val="00DD122E"/>
    <w:rsid w:val="00DD17B2"/>
    <w:rsid w:val="00DD4750"/>
    <w:rsid w:val="00DD51EB"/>
    <w:rsid w:val="00DE6E21"/>
    <w:rsid w:val="00DF0A3F"/>
    <w:rsid w:val="00DF2070"/>
    <w:rsid w:val="00DF4C4C"/>
    <w:rsid w:val="00E11941"/>
    <w:rsid w:val="00E14DFD"/>
    <w:rsid w:val="00E21337"/>
    <w:rsid w:val="00E27E2B"/>
    <w:rsid w:val="00E4243D"/>
    <w:rsid w:val="00E47184"/>
    <w:rsid w:val="00E6119A"/>
    <w:rsid w:val="00E9033E"/>
    <w:rsid w:val="00EA1C6F"/>
    <w:rsid w:val="00EA2684"/>
    <w:rsid w:val="00EA2713"/>
    <w:rsid w:val="00EA7977"/>
    <w:rsid w:val="00EB1DD3"/>
    <w:rsid w:val="00EC1E1B"/>
    <w:rsid w:val="00ED2CAC"/>
    <w:rsid w:val="00EE2DDE"/>
    <w:rsid w:val="00F02E68"/>
    <w:rsid w:val="00F039C5"/>
    <w:rsid w:val="00F06598"/>
    <w:rsid w:val="00F14F5A"/>
    <w:rsid w:val="00F157AA"/>
    <w:rsid w:val="00F23FB6"/>
    <w:rsid w:val="00F27B0A"/>
    <w:rsid w:val="00F342C5"/>
    <w:rsid w:val="00F347BC"/>
    <w:rsid w:val="00F4050F"/>
    <w:rsid w:val="00F511DA"/>
    <w:rsid w:val="00F5249A"/>
    <w:rsid w:val="00F571B2"/>
    <w:rsid w:val="00F64722"/>
    <w:rsid w:val="00F75785"/>
    <w:rsid w:val="00F854C8"/>
    <w:rsid w:val="00F96BFB"/>
    <w:rsid w:val="00FA52B2"/>
    <w:rsid w:val="00FC54A6"/>
    <w:rsid w:val="00FC78F5"/>
    <w:rsid w:val="00FD42BF"/>
    <w:rsid w:val="00FE6F77"/>
    <w:rsid w:val="00FF16C4"/>
    <w:rsid w:val="00FF330F"/>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04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51"/>
    <w:rPr>
      <w:rFonts w:ascii="Arial" w:hAnsi="Arial"/>
      <w:sz w:val="24"/>
    </w:rPr>
  </w:style>
  <w:style w:type="paragraph" w:styleId="Heading1">
    <w:name w:val="heading 1"/>
    <w:basedOn w:val="Normal"/>
    <w:next w:val="Normal"/>
    <w:link w:val="Heading1Char"/>
    <w:qFormat/>
    <w:rsid w:val="00522840"/>
    <w:pPr>
      <w:keepNext/>
      <w:spacing w:before="240" w:after="60"/>
      <w:outlineLvl w:val="0"/>
    </w:pPr>
    <w:rPr>
      <w:rFonts w:cs="Arial"/>
      <w:b/>
      <w:bCs/>
      <w:kern w:val="32"/>
      <w:sz w:val="32"/>
      <w:szCs w:val="32"/>
    </w:rPr>
  </w:style>
  <w:style w:type="paragraph" w:styleId="Heading2">
    <w:name w:val="heading 2"/>
    <w:basedOn w:val="Normal"/>
    <w:next w:val="Normal"/>
    <w:qFormat/>
    <w:rsid w:val="006D7851"/>
    <w:pPr>
      <w:keepNext/>
      <w:outlineLvl w:val="1"/>
    </w:pPr>
    <w:rPr>
      <w:b/>
      <w:u w:val="single"/>
    </w:rPr>
  </w:style>
  <w:style w:type="paragraph" w:styleId="Heading3">
    <w:name w:val="heading 3"/>
    <w:basedOn w:val="Normal"/>
    <w:next w:val="Normal"/>
    <w:qFormat/>
    <w:rsid w:val="006D7851"/>
    <w:pPr>
      <w:keepNext/>
      <w:jc w:val="center"/>
      <w:outlineLvl w:val="2"/>
    </w:pPr>
    <w:rPr>
      <w:rFonts w:ascii="Times New Roman" w:hAnsi="Times New Roman"/>
    </w:rPr>
  </w:style>
  <w:style w:type="paragraph" w:styleId="Heading5">
    <w:name w:val="heading 5"/>
    <w:basedOn w:val="Normal"/>
    <w:next w:val="Normal"/>
    <w:qFormat/>
    <w:rsid w:val="00760E11"/>
    <w:pPr>
      <w:spacing w:before="240" w:after="60"/>
      <w:outlineLvl w:val="4"/>
    </w:pPr>
    <w:rPr>
      <w:b/>
      <w:bCs/>
      <w:i/>
      <w:iCs/>
      <w:sz w:val="26"/>
      <w:szCs w:val="26"/>
    </w:rPr>
  </w:style>
  <w:style w:type="paragraph" w:styleId="Heading9">
    <w:name w:val="heading 9"/>
    <w:basedOn w:val="Normal"/>
    <w:next w:val="Normal"/>
    <w:qFormat/>
    <w:rsid w:val="00522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7851"/>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 w:type="paragraph" w:styleId="Header">
    <w:name w:val="header"/>
    <w:basedOn w:val="Normal"/>
    <w:rsid w:val="006D7851"/>
    <w:pPr>
      <w:tabs>
        <w:tab w:val="center" w:pos="4320"/>
        <w:tab w:val="right" w:pos="8640"/>
      </w:tabs>
    </w:pPr>
  </w:style>
  <w:style w:type="paragraph" w:styleId="Footer">
    <w:name w:val="footer"/>
    <w:basedOn w:val="Normal"/>
    <w:rsid w:val="006D7851"/>
    <w:pPr>
      <w:tabs>
        <w:tab w:val="center" w:pos="4320"/>
        <w:tab w:val="right" w:pos="8640"/>
      </w:tabs>
    </w:pPr>
  </w:style>
  <w:style w:type="character" w:styleId="PageNumber">
    <w:name w:val="page number"/>
    <w:basedOn w:val="DefaultParagraphFont"/>
    <w:rsid w:val="006D7851"/>
  </w:style>
  <w:style w:type="paragraph" w:styleId="BodyText">
    <w:name w:val="Body Text"/>
    <w:basedOn w:val="Normal"/>
    <w:rsid w:val="00522840"/>
    <w:pPr>
      <w:widowControl w:val="0"/>
    </w:pPr>
    <w:rPr>
      <w:rFonts w:ascii="Times New Roman" w:hAnsi="Times New Roman"/>
      <w:snapToGrid w:val="0"/>
      <w:sz w:val="20"/>
    </w:rPr>
  </w:style>
  <w:style w:type="paragraph" w:styleId="BodyText2">
    <w:name w:val="Body Text 2"/>
    <w:basedOn w:val="Normal"/>
    <w:rsid w:val="00522840"/>
    <w:pPr>
      <w:spacing w:before="240"/>
    </w:pPr>
    <w:rPr>
      <w:rFonts w:ascii="Times New Roman" w:hAnsi="Times New Roman"/>
      <w:color w:val="FF0000"/>
      <w:sz w:val="20"/>
    </w:rPr>
  </w:style>
  <w:style w:type="paragraph" w:styleId="Title">
    <w:name w:val="Title"/>
    <w:basedOn w:val="Normal"/>
    <w:link w:val="TitleChar"/>
    <w:qFormat/>
    <w:rsid w:val="00760E11"/>
    <w:pPr>
      <w:jc w:val="center"/>
    </w:pPr>
    <w:rPr>
      <w:b/>
    </w:rPr>
  </w:style>
  <w:style w:type="paragraph" w:customStyle="1" w:styleId="indent">
    <w:name w:val="indent"/>
    <w:basedOn w:val="Normal"/>
    <w:rsid w:val="00760E11"/>
    <w:pPr>
      <w:ind w:left="720"/>
    </w:pPr>
    <w:rPr>
      <w:rFonts w:ascii="Times New Roman" w:hAnsi="Times New Roman"/>
      <w:sz w:val="20"/>
    </w:rPr>
  </w:style>
  <w:style w:type="table" w:styleId="TableGrid">
    <w:name w:val="Table Grid"/>
    <w:basedOn w:val="TableNormal"/>
    <w:rsid w:val="006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F5A"/>
    <w:rPr>
      <w:rFonts w:ascii="Tahoma" w:hAnsi="Tahoma" w:cs="Tahoma"/>
      <w:sz w:val="16"/>
      <w:szCs w:val="16"/>
    </w:rPr>
  </w:style>
  <w:style w:type="paragraph" w:styleId="BodyTextIndent">
    <w:name w:val="Body Text Indent"/>
    <w:basedOn w:val="Normal"/>
    <w:link w:val="BodyTextIndentChar"/>
    <w:rsid w:val="009B46EE"/>
    <w:pPr>
      <w:spacing w:after="120"/>
      <w:ind w:left="360"/>
    </w:pPr>
  </w:style>
  <w:style w:type="character" w:customStyle="1" w:styleId="BodyTextIndentChar">
    <w:name w:val="Body Text Indent Char"/>
    <w:basedOn w:val="DefaultParagraphFont"/>
    <w:link w:val="BodyTextIndent"/>
    <w:rsid w:val="009B46EE"/>
    <w:rPr>
      <w:rFonts w:ascii="Arial" w:hAnsi="Arial"/>
      <w:sz w:val="24"/>
    </w:rPr>
  </w:style>
  <w:style w:type="paragraph" w:styleId="NoSpacing">
    <w:name w:val="No Spacing"/>
    <w:uiPriority w:val="1"/>
    <w:qFormat/>
    <w:rsid w:val="002544D6"/>
    <w:rPr>
      <w:rFonts w:ascii="Arial" w:hAnsi="Arial"/>
      <w:sz w:val="24"/>
    </w:rPr>
  </w:style>
  <w:style w:type="character" w:styleId="CommentReference">
    <w:name w:val="annotation reference"/>
    <w:basedOn w:val="DefaultParagraphFont"/>
    <w:rsid w:val="004616DB"/>
    <w:rPr>
      <w:sz w:val="16"/>
      <w:szCs w:val="16"/>
    </w:rPr>
  </w:style>
  <w:style w:type="paragraph" w:styleId="CommentText">
    <w:name w:val="annotation text"/>
    <w:basedOn w:val="Normal"/>
    <w:link w:val="CommentTextChar"/>
    <w:rsid w:val="004616DB"/>
    <w:rPr>
      <w:sz w:val="20"/>
    </w:rPr>
  </w:style>
  <w:style w:type="character" w:customStyle="1" w:styleId="CommentTextChar">
    <w:name w:val="Comment Text Char"/>
    <w:basedOn w:val="DefaultParagraphFont"/>
    <w:link w:val="CommentText"/>
    <w:rsid w:val="004616DB"/>
    <w:rPr>
      <w:rFonts w:ascii="Arial" w:hAnsi="Arial"/>
    </w:rPr>
  </w:style>
  <w:style w:type="paragraph" w:styleId="CommentSubject">
    <w:name w:val="annotation subject"/>
    <w:basedOn w:val="CommentText"/>
    <w:next w:val="CommentText"/>
    <w:link w:val="CommentSubjectChar"/>
    <w:rsid w:val="004616DB"/>
    <w:rPr>
      <w:b/>
      <w:bCs/>
    </w:rPr>
  </w:style>
  <w:style w:type="character" w:customStyle="1" w:styleId="CommentSubjectChar">
    <w:name w:val="Comment Subject Char"/>
    <w:basedOn w:val="CommentTextChar"/>
    <w:link w:val="CommentSubject"/>
    <w:rsid w:val="004616DB"/>
    <w:rPr>
      <w:rFonts w:ascii="Arial" w:hAnsi="Arial"/>
      <w:b/>
      <w:bCs/>
    </w:rPr>
  </w:style>
  <w:style w:type="character" w:customStyle="1" w:styleId="Heading1Char">
    <w:name w:val="Heading 1 Char"/>
    <w:basedOn w:val="DefaultParagraphFont"/>
    <w:link w:val="Heading1"/>
    <w:rsid w:val="00661ED5"/>
    <w:rPr>
      <w:rFonts w:ascii="Arial" w:hAnsi="Arial" w:cs="Arial"/>
      <w:b/>
      <w:bCs/>
      <w:kern w:val="32"/>
      <w:sz w:val="32"/>
      <w:szCs w:val="32"/>
    </w:rPr>
  </w:style>
  <w:style w:type="character" w:customStyle="1" w:styleId="TitleChar">
    <w:name w:val="Title Char"/>
    <w:basedOn w:val="DefaultParagraphFont"/>
    <w:link w:val="Title"/>
    <w:rsid w:val="00661ED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851"/>
    <w:rPr>
      <w:rFonts w:ascii="Arial" w:hAnsi="Arial"/>
      <w:sz w:val="24"/>
    </w:rPr>
  </w:style>
  <w:style w:type="paragraph" w:styleId="Heading1">
    <w:name w:val="heading 1"/>
    <w:basedOn w:val="Normal"/>
    <w:next w:val="Normal"/>
    <w:link w:val="Heading1Char"/>
    <w:qFormat/>
    <w:rsid w:val="00522840"/>
    <w:pPr>
      <w:keepNext/>
      <w:spacing w:before="240" w:after="60"/>
      <w:outlineLvl w:val="0"/>
    </w:pPr>
    <w:rPr>
      <w:rFonts w:cs="Arial"/>
      <w:b/>
      <w:bCs/>
      <w:kern w:val="32"/>
      <w:sz w:val="32"/>
      <w:szCs w:val="32"/>
    </w:rPr>
  </w:style>
  <w:style w:type="paragraph" w:styleId="Heading2">
    <w:name w:val="heading 2"/>
    <w:basedOn w:val="Normal"/>
    <w:next w:val="Normal"/>
    <w:qFormat/>
    <w:rsid w:val="006D7851"/>
    <w:pPr>
      <w:keepNext/>
      <w:outlineLvl w:val="1"/>
    </w:pPr>
    <w:rPr>
      <w:b/>
      <w:u w:val="single"/>
    </w:rPr>
  </w:style>
  <w:style w:type="paragraph" w:styleId="Heading3">
    <w:name w:val="heading 3"/>
    <w:basedOn w:val="Normal"/>
    <w:next w:val="Normal"/>
    <w:qFormat/>
    <w:rsid w:val="006D7851"/>
    <w:pPr>
      <w:keepNext/>
      <w:jc w:val="center"/>
      <w:outlineLvl w:val="2"/>
    </w:pPr>
    <w:rPr>
      <w:rFonts w:ascii="Times New Roman" w:hAnsi="Times New Roman"/>
    </w:rPr>
  </w:style>
  <w:style w:type="paragraph" w:styleId="Heading5">
    <w:name w:val="heading 5"/>
    <w:basedOn w:val="Normal"/>
    <w:next w:val="Normal"/>
    <w:qFormat/>
    <w:rsid w:val="00760E11"/>
    <w:pPr>
      <w:spacing w:before="240" w:after="60"/>
      <w:outlineLvl w:val="4"/>
    </w:pPr>
    <w:rPr>
      <w:b/>
      <w:bCs/>
      <w:i/>
      <w:iCs/>
      <w:sz w:val="26"/>
      <w:szCs w:val="26"/>
    </w:rPr>
  </w:style>
  <w:style w:type="paragraph" w:styleId="Heading9">
    <w:name w:val="heading 9"/>
    <w:basedOn w:val="Normal"/>
    <w:next w:val="Normal"/>
    <w:qFormat/>
    <w:rsid w:val="00522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7851"/>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 w:type="paragraph" w:styleId="Header">
    <w:name w:val="header"/>
    <w:basedOn w:val="Normal"/>
    <w:rsid w:val="006D7851"/>
    <w:pPr>
      <w:tabs>
        <w:tab w:val="center" w:pos="4320"/>
        <w:tab w:val="right" w:pos="8640"/>
      </w:tabs>
    </w:pPr>
  </w:style>
  <w:style w:type="paragraph" w:styleId="Footer">
    <w:name w:val="footer"/>
    <w:basedOn w:val="Normal"/>
    <w:rsid w:val="006D7851"/>
    <w:pPr>
      <w:tabs>
        <w:tab w:val="center" w:pos="4320"/>
        <w:tab w:val="right" w:pos="8640"/>
      </w:tabs>
    </w:pPr>
  </w:style>
  <w:style w:type="character" w:styleId="PageNumber">
    <w:name w:val="page number"/>
    <w:basedOn w:val="DefaultParagraphFont"/>
    <w:rsid w:val="006D7851"/>
  </w:style>
  <w:style w:type="paragraph" w:styleId="BodyText">
    <w:name w:val="Body Text"/>
    <w:basedOn w:val="Normal"/>
    <w:rsid w:val="00522840"/>
    <w:pPr>
      <w:widowControl w:val="0"/>
    </w:pPr>
    <w:rPr>
      <w:rFonts w:ascii="Times New Roman" w:hAnsi="Times New Roman"/>
      <w:snapToGrid w:val="0"/>
      <w:sz w:val="20"/>
    </w:rPr>
  </w:style>
  <w:style w:type="paragraph" w:styleId="BodyText2">
    <w:name w:val="Body Text 2"/>
    <w:basedOn w:val="Normal"/>
    <w:rsid w:val="00522840"/>
    <w:pPr>
      <w:spacing w:before="240"/>
    </w:pPr>
    <w:rPr>
      <w:rFonts w:ascii="Times New Roman" w:hAnsi="Times New Roman"/>
      <w:color w:val="FF0000"/>
      <w:sz w:val="20"/>
    </w:rPr>
  </w:style>
  <w:style w:type="paragraph" w:styleId="Title">
    <w:name w:val="Title"/>
    <w:basedOn w:val="Normal"/>
    <w:link w:val="TitleChar"/>
    <w:qFormat/>
    <w:rsid w:val="00760E11"/>
    <w:pPr>
      <w:jc w:val="center"/>
    </w:pPr>
    <w:rPr>
      <w:b/>
    </w:rPr>
  </w:style>
  <w:style w:type="paragraph" w:customStyle="1" w:styleId="indent">
    <w:name w:val="indent"/>
    <w:basedOn w:val="Normal"/>
    <w:rsid w:val="00760E11"/>
    <w:pPr>
      <w:ind w:left="720"/>
    </w:pPr>
    <w:rPr>
      <w:rFonts w:ascii="Times New Roman" w:hAnsi="Times New Roman"/>
      <w:sz w:val="20"/>
    </w:rPr>
  </w:style>
  <w:style w:type="table" w:styleId="TableGrid">
    <w:name w:val="Table Grid"/>
    <w:basedOn w:val="TableNormal"/>
    <w:rsid w:val="006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F5A"/>
    <w:rPr>
      <w:rFonts w:ascii="Tahoma" w:hAnsi="Tahoma" w:cs="Tahoma"/>
      <w:sz w:val="16"/>
      <w:szCs w:val="16"/>
    </w:rPr>
  </w:style>
  <w:style w:type="paragraph" w:styleId="BodyTextIndent">
    <w:name w:val="Body Text Indent"/>
    <w:basedOn w:val="Normal"/>
    <w:link w:val="BodyTextIndentChar"/>
    <w:rsid w:val="009B46EE"/>
    <w:pPr>
      <w:spacing w:after="120"/>
      <w:ind w:left="360"/>
    </w:pPr>
  </w:style>
  <w:style w:type="character" w:customStyle="1" w:styleId="BodyTextIndentChar">
    <w:name w:val="Body Text Indent Char"/>
    <w:basedOn w:val="DefaultParagraphFont"/>
    <w:link w:val="BodyTextIndent"/>
    <w:rsid w:val="009B46EE"/>
    <w:rPr>
      <w:rFonts w:ascii="Arial" w:hAnsi="Arial"/>
      <w:sz w:val="24"/>
    </w:rPr>
  </w:style>
  <w:style w:type="paragraph" w:styleId="NoSpacing">
    <w:name w:val="No Spacing"/>
    <w:uiPriority w:val="1"/>
    <w:qFormat/>
    <w:rsid w:val="002544D6"/>
    <w:rPr>
      <w:rFonts w:ascii="Arial" w:hAnsi="Arial"/>
      <w:sz w:val="24"/>
    </w:rPr>
  </w:style>
  <w:style w:type="character" w:styleId="CommentReference">
    <w:name w:val="annotation reference"/>
    <w:basedOn w:val="DefaultParagraphFont"/>
    <w:rsid w:val="004616DB"/>
    <w:rPr>
      <w:sz w:val="16"/>
      <w:szCs w:val="16"/>
    </w:rPr>
  </w:style>
  <w:style w:type="paragraph" w:styleId="CommentText">
    <w:name w:val="annotation text"/>
    <w:basedOn w:val="Normal"/>
    <w:link w:val="CommentTextChar"/>
    <w:rsid w:val="004616DB"/>
    <w:rPr>
      <w:sz w:val="20"/>
    </w:rPr>
  </w:style>
  <w:style w:type="character" w:customStyle="1" w:styleId="CommentTextChar">
    <w:name w:val="Comment Text Char"/>
    <w:basedOn w:val="DefaultParagraphFont"/>
    <w:link w:val="CommentText"/>
    <w:rsid w:val="004616DB"/>
    <w:rPr>
      <w:rFonts w:ascii="Arial" w:hAnsi="Arial"/>
    </w:rPr>
  </w:style>
  <w:style w:type="paragraph" w:styleId="CommentSubject">
    <w:name w:val="annotation subject"/>
    <w:basedOn w:val="CommentText"/>
    <w:next w:val="CommentText"/>
    <w:link w:val="CommentSubjectChar"/>
    <w:rsid w:val="004616DB"/>
    <w:rPr>
      <w:b/>
      <w:bCs/>
    </w:rPr>
  </w:style>
  <w:style w:type="character" w:customStyle="1" w:styleId="CommentSubjectChar">
    <w:name w:val="Comment Subject Char"/>
    <w:basedOn w:val="CommentTextChar"/>
    <w:link w:val="CommentSubject"/>
    <w:rsid w:val="004616DB"/>
    <w:rPr>
      <w:rFonts w:ascii="Arial" w:hAnsi="Arial"/>
      <w:b/>
      <w:bCs/>
    </w:rPr>
  </w:style>
  <w:style w:type="character" w:customStyle="1" w:styleId="Heading1Char">
    <w:name w:val="Heading 1 Char"/>
    <w:basedOn w:val="DefaultParagraphFont"/>
    <w:link w:val="Heading1"/>
    <w:rsid w:val="00661ED5"/>
    <w:rPr>
      <w:rFonts w:ascii="Arial" w:hAnsi="Arial" w:cs="Arial"/>
      <w:b/>
      <w:bCs/>
      <w:kern w:val="32"/>
      <w:sz w:val="32"/>
      <w:szCs w:val="32"/>
    </w:rPr>
  </w:style>
  <w:style w:type="character" w:customStyle="1" w:styleId="TitleChar">
    <w:name w:val="Title Char"/>
    <w:basedOn w:val="DefaultParagraphFont"/>
    <w:link w:val="Title"/>
    <w:rsid w:val="00661ED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6684">
      <w:bodyDiv w:val="1"/>
      <w:marLeft w:val="0"/>
      <w:marRight w:val="0"/>
      <w:marTop w:val="0"/>
      <w:marBottom w:val="0"/>
      <w:divBdr>
        <w:top w:val="none" w:sz="0" w:space="0" w:color="auto"/>
        <w:left w:val="none" w:sz="0" w:space="0" w:color="auto"/>
        <w:bottom w:val="none" w:sz="0" w:space="0" w:color="auto"/>
        <w:right w:val="none" w:sz="0" w:space="0" w:color="auto"/>
      </w:divBdr>
    </w:div>
    <w:div w:id="1469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27D0-9D6E-4D57-91A2-1282E1B2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16443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2014-10-02T18:47:00Z</dcterms:created>
  <dcterms:modified xsi:type="dcterms:W3CDTF">2014-10-02T18:47:00Z</dcterms:modified>
</cp:coreProperties>
</file>