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EE1673"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r>
        <w:rPr>
          <w:smallCaps/>
        </w:rPr>
        <w:tab/>
        <w:t>`</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r w:rsidRPr="00820FB4">
        <w:rPr>
          <w:rFonts w:ascii="Times New Roman" w:hAnsi="Times New Roman"/>
          <w:b/>
          <w:smallCaps/>
          <w:sz w:val="40"/>
        </w:rPr>
        <w:t>Illinois State</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2B6B43" w:rsidP="002B6B43">
      <w:pPr>
        <w:ind w:left="5760" w:right="-1440"/>
        <w:jc w:val="center"/>
        <w:rPr>
          <w:rFonts w:ascii="Times New Roman" w:hAnsi="Times New Roman"/>
          <w:b/>
          <w:u w:val="single"/>
        </w:rPr>
      </w:pPr>
      <w:r w:rsidRPr="002B6B43">
        <w:rPr>
          <w:rFonts w:ascii="Times New Roman" w:hAnsi="Times New Roman"/>
          <w:b/>
        </w:rPr>
        <w:t xml:space="preserve">         </w:t>
      </w:r>
      <w:proofErr w:type="gramStart"/>
      <w:r w:rsidR="00FA1721" w:rsidRPr="0029682E">
        <w:rPr>
          <w:rFonts w:ascii="Times New Roman" w:hAnsi="Times New Roman"/>
          <w:b/>
          <w:u w:val="single"/>
        </w:rPr>
        <w:t>Resolution No.</w:t>
      </w:r>
      <w:proofErr w:type="gramEnd"/>
      <w:r w:rsidR="00FA1721" w:rsidRPr="0029682E">
        <w:rPr>
          <w:rFonts w:ascii="Times New Roman" w:hAnsi="Times New Roman"/>
          <w:b/>
          <w:u w:val="single"/>
        </w:rPr>
        <w:t xml:space="preserve">  </w:t>
      </w:r>
      <w:r w:rsidR="002A3D57">
        <w:rPr>
          <w:rFonts w:ascii="Times New Roman" w:hAnsi="Times New Roman"/>
          <w:b/>
          <w:u w:val="single"/>
        </w:rPr>
        <w:t>2015</w:t>
      </w:r>
      <w:r w:rsidR="00160C44">
        <w:rPr>
          <w:rFonts w:ascii="Times New Roman" w:hAnsi="Times New Roman"/>
          <w:b/>
          <w:u w:val="single"/>
        </w:rPr>
        <w:t>.02/15</w:t>
      </w:r>
    </w:p>
    <w:p w:rsidR="002B6B43" w:rsidRDefault="002B6B43" w:rsidP="002B6B43">
      <w:pPr>
        <w:ind w:left="5760" w:right="-1440"/>
        <w:jc w:val="center"/>
        <w:rPr>
          <w:rFonts w:ascii="Times New Roman" w:hAnsi="Times New Roman"/>
          <w:b/>
          <w:u w:val="single"/>
        </w:rPr>
      </w:pPr>
      <w:r w:rsidRPr="002B6B43">
        <w:rPr>
          <w:rFonts w:ascii="Times New Roman" w:hAnsi="Times New Roman"/>
          <w:b/>
        </w:rPr>
        <w:t xml:space="preserve">         </w:t>
      </w:r>
      <w:r w:rsidR="00452ADF">
        <w:rPr>
          <w:rFonts w:ascii="Times New Roman" w:hAnsi="Times New Roman"/>
          <w:b/>
          <w:u w:val="single"/>
        </w:rPr>
        <w:t xml:space="preserve">Bone </w:t>
      </w:r>
      <w:r w:rsidR="00B4186A">
        <w:rPr>
          <w:rFonts w:ascii="Times New Roman" w:hAnsi="Times New Roman"/>
          <w:b/>
          <w:u w:val="single"/>
        </w:rPr>
        <w:t>Student Center</w:t>
      </w:r>
    </w:p>
    <w:p w:rsidR="00AA6781" w:rsidRDefault="002B6B43" w:rsidP="002B6B43">
      <w:pPr>
        <w:ind w:left="5040" w:right="-1440" w:firstLine="720"/>
        <w:jc w:val="center"/>
        <w:rPr>
          <w:rFonts w:ascii="Times New Roman" w:hAnsi="Times New Roman"/>
          <w:b/>
          <w:u w:val="single"/>
        </w:rPr>
      </w:pPr>
      <w:r w:rsidRPr="002B6B43">
        <w:rPr>
          <w:rFonts w:ascii="Times New Roman" w:hAnsi="Times New Roman"/>
          <w:b/>
        </w:rPr>
        <w:t xml:space="preserve">        </w:t>
      </w:r>
      <w:r w:rsidR="0049622B">
        <w:rPr>
          <w:rFonts w:ascii="Times New Roman" w:hAnsi="Times New Roman"/>
          <w:b/>
          <w:u w:val="single"/>
        </w:rPr>
        <w:t>Revitalization</w:t>
      </w:r>
      <w:r w:rsidR="002376B0">
        <w:rPr>
          <w:rFonts w:ascii="Times New Roman" w:hAnsi="Times New Roman"/>
          <w:b/>
          <w:u w:val="single"/>
        </w:rPr>
        <w:t xml:space="preserve"> Project</w:t>
      </w:r>
      <w:r w:rsidR="00B4186A">
        <w:rPr>
          <w:rFonts w:ascii="Times New Roman" w:hAnsi="Times New Roman"/>
          <w:b/>
          <w:u w:val="single"/>
        </w:rPr>
        <w:t xml:space="preserve">, </w:t>
      </w:r>
      <w:r w:rsidR="00452ADF">
        <w:rPr>
          <w:rFonts w:ascii="Times New Roman" w:hAnsi="Times New Roman"/>
          <w:b/>
          <w:u w:val="single"/>
        </w:rPr>
        <w:t>Phase I</w:t>
      </w:r>
    </w:p>
    <w:p w:rsidR="00EA757B" w:rsidRDefault="002A3D57" w:rsidP="002B6B43">
      <w:pPr>
        <w:ind w:left="5040" w:right="-1440" w:firstLine="720"/>
        <w:jc w:val="center"/>
        <w:rPr>
          <w:rFonts w:ascii="Times New Roman" w:hAnsi="Times New Roman"/>
          <w:b/>
          <w:u w:val="single"/>
        </w:rPr>
      </w:pPr>
      <w:r>
        <w:rPr>
          <w:rFonts w:ascii="Times New Roman" w:hAnsi="Times New Roman"/>
          <w:b/>
          <w:u w:val="single"/>
        </w:rPr>
        <w:t>Construction</w:t>
      </w:r>
    </w:p>
    <w:p w:rsidR="00236795" w:rsidRDefault="00236795" w:rsidP="00227C71">
      <w:pPr>
        <w:ind w:right="-1260"/>
        <w:rPr>
          <w:rFonts w:ascii="Times New Roman" w:hAnsi="Times New Roman"/>
          <w:b/>
          <w:u w:val="single"/>
        </w:rPr>
      </w:pPr>
    </w:p>
    <w:p w:rsidR="002C588A" w:rsidRPr="00C96564" w:rsidRDefault="00227C71" w:rsidP="00227C71">
      <w:pPr>
        <w:ind w:right="-1260"/>
        <w:rPr>
          <w:rFonts w:ascii="Times New Roman" w:hAnsi="Times New Roman"/>
          <w:b/>
          <w:u w:val="single"/>
        </w:rPr>
      </w:pPr>
      <w:r w:rsidRPr="00C96564">
        <w:rPr>
          <w:rFonts w:ascii="Times New Roman" w:hAnsi="Times New Roman"/>
          <w:b/>
          <w:u w:val="single"/>
        </w:rPr>
        <w:t>Resolution</w:t>
      </w:r>
    </w:p>
    <w:p w:rsidR="00C906CC" w:rsidRDefault="002C588A" w:rsidP="00227C71">
      <w:pPr>
        <w:rPr>
          <w:rFonts w:ascii="Times New Roman" w:hAnsi="Times New Roman"/>
        </w:rPr>
      </w:pPr>
      <w:r>
        <w:rPr>
          <w:rFonts w:ascii="Times New Roman" w:hAnsi="Times New Roman"/>
        </w:rPr>
        <w:t>Whereas,</w:t>
      </w:r>
      <w:r w:rsidR="00452ADF">
        <w:rPr>
          <w:rFonts w:ascii="Times New Roman" w:hAnsi="Times New Roman"/>
        </w:rPr>
        <w:t xml:space="preserve"> </w:t>
      </w:r>
      <w:r w:rsidR="002A3D57">
        <w:rPr>
          <w:rFonts w:ascii="Times New Roman" w:hAnsi="Times New Roman"/>
        </w:rPr>
        <w:t>in May 2014</w:t>
      </w:r>
      <w:r w:rsidR="002376B0">
        <w:rPr>
          <w:rFonts w:ascii="Times New Roman" w:hAnsi="Times New Roman"/>
        </w:rPr>
        <w:t xml:space="preserve"> the Board of Trustees authorized </w:t>
      </w:r>
      <w:r w:rsidR="003A5D7B">
        <w:rPr>
          <w:rFonts w:ascii="Times New Roman" w:hAnsi="Times New Roman"/>
        </w:rPr>
        <w:t>$2</w:t>
      </w:r>
      <w:r w:rsidR="00D068C4">
        <w:rPr>
          <w:rFonts w:ascii="Times New Roman" w:hAnsi="Times New Roman"/>
        </w:rPr>
        <w:t xml:space="preserve">.0 million for </w:t>
      </w:r>
      <w:r w:rsidR="002376B0">
        <w:rPr>
          <w:rFonts w:ascii="Times New Roman" w:hAnsi="Times New Roman"/>
        </w:rPr>
        <w:t xml:space="preserve">planning the </w:t>
      </w:r>
      <w:r w:rsidR="00452ADF">
        <w:rPr>
          <w:rFonts w:ascii="Times New Roman" w:hAnsi="Times New Roman"/>
        </w:rPr>
        <w:t>Bone Student Center</w:t>
      </w:r>
      <w:r w:rsidR="002376B0">
        <w:rPr>
          <w:rFonts w:ascii="Times New Roman" w:hAnsi="Times New Roman"/>
        </w:rPr>
        <w:t xml:space="preserve"> Revitalization</w:t>
      </w:r>
      <w:r w:rsidR="00D068C4">
        <w:rPr>
          <w:rFonts w:ascii="Times New Roman" w:hAnsi="Times New Roman"/>
        </w:rPr>
        <w:t>, Phase 1</w:t>
      </w:r>
      <w:r w:rsidR="002376B0">
        <w:rPr>
          <w:rFonts w:ascii="Times New Roman" w:hAnsi="Times New Roman"/>
        </w:rPr>
        <w:t xml:space="preserve"> project</w:t>
      </w:r>
      <w:r w:rsidR="00B75EE2">
        <w:rPr>
          <w:rFonts w:ascii="Times New Roman" w:hAnsi="Times New Roman"/>
        </w:rPr>
        <w:t xml:space="preserve"> </w:t>
      </w:r>
      <w:r w:rsidR="00BB2097">
        <w:rPr>
          <w:rFonts w:ascii="Times New Roman" w:hAnsi="Times New Roman"/>
        </w:rPr>
        <w:t xml:space="preserve">involving </w:t>
      </w:r>
      <w:r w:rsidR="00B75EE2">
        <w:rPr>
          <w:rFonts w:ascii="Times New Roman" w:hAnsi="Times New Roman"/>
        </w:rPr>
        <w:t xml:space="preserve">relocation of the catering kitchen, </w:t>
      </w:r>
      <w:r w:rsidR="009339FD">
        <w:rPr>
          <w:rFonts w:ascii="Times New Roman" w:hAnsi="Times New Roman"/>
        </w:rPr>
        <w:t>revising</w:t>
      </w:r>
      <w:r w:rsidR="00B75EE2">
        <w:rPr>
          <w:rFonts w:ascii="Times New Roman" w:hAnsi="Times New Roman"/>
        </w:rPr>
        <w:t xml:space="preserve"> the loading dock,</w:t>
      </w:r>
      <w:r w:rsidR="00BB2097">
        <w:rPr>
          <w:rFonts w:ascii="Times New Roman" w:hAnsi="Times New Roman"/>
        </w:rPr>
        <w:t xml:space="preserve"> expand</w:t>
      </w:r>
      <w:r w:rsidR="009339FD">
        <w:rPr>
          <w:rFonts w:ascii="Times New Roman" w:hAnsi="Times New Roman"/>
        </w:rPr>
        <w:t>ing the</w:t>
      </w:r>
      <w:r w:rsidR="00BB2097">
        <w:rPr>
          <w:rFonts w:ascii="Times New Roman" w:hAnsi="Times New Roman"/>
        </w:rPr>
        <w:t xml:space="preserve"> food court</w:t>
      </w:r>
      <w:r w:rsidR="009339FD">
        <w:rPr>
          <w:rFonts w:ascii="Times New Roman" w:hAnsi="Times New Roman"/>
        </w:rPr>
        <w:t>,</w:t>
      </w:r>
      <w:r w:rsidR="00A54057">
        <w:rPr>
          <w:rFonts w:ascii="Times New Roman" w:hAnsi="Times New Roman"/>
        </w:rPr>
        <w:t xml:space="preserve"> renovat</w:t>
      </w:r>
      <w:r w:rsidR="009339FD">
        <w:rPr>
          <w:rFonts w:ascii="Times New Roman" w:hAnsi="Times New Roman"/>
        </w:rPr>
        <w:t>ing</w:t>
      </w:r>
      <w:r w:rsidR="00A54057">
        <w:rPr>
          <w:rFonts w:ascii="Times New Roman" w:hAnsi="Times New Roman"/>
        </w:rPr>
        <w:t xml:space="preserve"> Brown Ballroom, </w:t>
      </w:r>
      <w:r w:rsidR="009339FD">
        <w:rPr>
          <w:rFonts w:ascii="Times New Roman" w:hAnsi="Times New Roman"/>
        </w:rPr>
        <w:t>adding</w:t>
      </w:r>
      <w:r w:rsidR="00A54057">
        <w:rPr>
          <w:rFonts w:ascii="Times New Roman" w:hAnsi="Times New Roman"/>
        </w:rPr>
        <w:t xml:space="preserve"> Campus Dining Services administrative offices, a </w:t>
      </w:r>
      <w:r w:rsidR="009339FD">
        <w:rPr>
          <w:rFonts w:ascii="Times New Roman" w:hAnsi="Times New Roman"/>
        </w:rPr>
        <w:t xml:space="preserve">new </w:t>
      </w:r>
      <w:r w:rsidR="00AA6781">
        <w:rPr>
          <w:rFonts w:ascii="Times New Roman" w:hAnsi="Times New Roman"/>
        </w:rPr>
        <w:t>area for welcoming visitors to the campus</w:t>
      </w:r>
      <w:r w:rsidR="00A54057">
        <w:rPr>
          <w:rFonts w:ascii="Times New Roman" w:hAnsi="Times New Roman"/>
        </w:rPr>
        <w:t>,</w:t>
      </w:r>
      <w:r w:rsidR="00BB2097">
        <w:rPr>
          <w:rFonts w:ascii="Times New Roman" w:hAnsi="Times New Roman"/>
        </w:rPr>
        <w:t xml:space="preserve"> and improv</w:t>
      </w:r>
      <w:r w:rsidR="009339FD">
        <w:rPr>
          <w:rFonts w:ascii="Times New Roman" w:hAnsi="Times New Roman"/>
        </w:rPr>
        <w:t>ing</w:t>
      </w:r>
      <w:r w:rsidR="00BB2097">
        <w:rPr>
          <w:rFonts w:ascii="Times New Roman" w:hAnsi="Times New Roman"/>
        </w:rPr>
        <w:t xml:space="preserve"> entrances on the west and </w:t>
      </w:r>
      <w:r w:rsidR="009339FD">
        <w:rPr>
          <w:rFonts w:ascii="Times New Roman" w:hAnsi="Times New Roman"/>
        </w:rPr>
        <w:t>northeast</w:t>
      </w:r>
      <w:r w:rsidR="00BB2097">
        <w:rPr>
          <w:rFonts w:ascii="Times New Roman" w:hAnsi="Times New Roman"/>
        </w:rPr>
        <w:t xml:space="preserve"> sides</w:t>
      </w:r>
      <w:r w:rsidR="00470A40">
        <w:rPr>
          <w:rFonts w:ascii="Times New Roman" w:hAnsi="Times New Roman"/>
        </w:rPr>
        <w:t>;</w:t>
      </w:r>
      <w:r w:rsidR="001301BD">
        <w:rPr>
          <w:rFonts w:ascii="Times New Roman" w:hAnsi="Times New Roman"/>
        </w:rPr>
        <w:t xml:space="preserve"> and</w:t>
      </w:r>
    </w:p>
    <w:p w:rsidR="00452ADF" w:rsidRPr="009339FD" w:rsidRDefault="00452ADF" w:rsidP="00227C71">
      <w:pPr>
        <w:rPr>
          <w:rFonts w:ascii="Times New Roman" w:hAnsi="Times New Roman"/>
        </w:rPr>
      </w:pPr>
    </w:p>
    <w:p w:rsidR="003F0CA3" w:rsidRDefault="00452ADF" w:rsidP="00986762">
      <w:pPr>
        <w:rPr>
          <w:rFonts w:ascii="Times New Roman" w:hAnsi="Times New Roman"/>
        </w:rPr>
      </w:pPr>
      <w:r>
        <w:rPr>
          <w:rFonts w:ascii="Times New Roman" w:hAnsi="Times New Roman"/>
        </w:rPr>
        <w:t>Whereas</w:t>
      </w:r>
      <w:r w:rsidR="003F2752">
        <w:rPr>
          <w:rFonts w:ascii="Times New Roman" w:hAnsi="Times New Roman"/>
        </w:rPr>
        <w:t>,</w:t>
      </w:r>
      <w:r>
        <w:rPr>
          <w:rFonts w:ascii="Times New Roman" w:hAnsi="Times New Roman"/>
        </w:rPr>
        <w:t xml:space="preserve"> </w:t>
      </w:r>
      <w:r w:rsidR="002376B0">
        <w:rPr>
          <w:rFonts w:ascii="Times New Roman" w:hAnsi="Times New Roman"/>
        </w:rPr>
        <w:t xml:space="preserve">the University has successfully </w:t>
      </w:r>
      <w:r w:rsidR="00DA0ACA">
        <w:rPr>
          <w:rFonts w:ascii="Times New Roman" w:hAnsi="Times New Roman"/>
        </w:rPr>
        <w:t>completed the Schematic Design Phase of the project and has identified appropriate spaces for the identified program elements</w:t>
      </w:r>
      <w:r w:rsidR="00941C20">
        <w:rPr>
          <w:rFonts w:ascii="Times New Roman" w:hAnsi="Times New Roman"/>
        </w:rPr>
        <w:t xml:space="preserve"> and other desirable </w:t>
      </w:r>
      <w:r w:rsidR="00B20F8C">
        <w:rPr>
          <w:rFonts w:ascii="Times New Roman" w:hAnsi="Times New Roman"/>
        </w:rPr>
        <w:t>objectives to address within the pro</w:t>
      </w:r>
      <w:r w:rsidR="00941C20">
        <w:rPr>
          <w:rFonts w:ascii="Times New Roman" w:hAnsi="Times New Roman"/>
        </w:rPr>
        <w:t>ject</w:t>
      </w:r>
      <w:r w:rsidR="00470A40">
        <w:rPr>
          <w:rFonts w:ascii="Times New Roman" w:hAnsi="Times New Roman"/>
        </w:rPr>
        <w:t>;</w:t>
      </w:r>
      <w:r w:rsidR="00BB2097">
        <w:rPr>
          <w:rFonts w:ascii="Times New Roman" w:hAnsi="Times New Roman"/>
        </w:rPr>
        <w:t xml:space="preserve"> </w:t>
      </w:r>
      <w:r w:rsidR="00BE0BD5">
        <w:rPr>
          <w:rFonts w:ascii="Times New Roman" w:hAnsi="Times New Roman"/>
        </w:rPr>
        <w:t>and</w:t>
      </w:r>
    </w:p>
    <w:p w:rsidR="00A17E98" w:rsidRDefault="00A17E98" w:rsidP="00986762">
      <w:pPr>
        <w:rPr>
          <w:rFonts w:ascii="Times New Roman" w:hAnsi="Times New Roman"/>
        </w:rPr>
      </w:pPr>
    </w:p>
    <w:p w:rsidR="00A17E98" w:rsidRDefault="00A17E98" w:rsidP="00986762">
      <w:pPr>
        <w:rPr>
          <w:rFonts w:ascii="Times New Roman" w:hAnsi="Times New Roman"/>
        </w:rPr>
      </w:pPr>
      <w:r>
        <w:rPr>
          <w:rFonts w:ascii="Times New Roman" w:hAnsi="Times New Roman"/>
        </w:rPr>
        <w:t xml:space="preserve">Whereas, the </w:t>
      </w:r>
      <w:r w:rsidR="002B6B43">
        <w:rPr>
          <w:rFonts w:ascii="Times New Roman" w:hAnsi="Times New Roman"/>
        </w:rPr>
        <w:t xml:space="preserve">architectural </w:t>
      </w:r>
      <w:r w:rsidR="00DA0ACA">
        <w:rPr>
          <w:rFonts w:ascii="Times New Roman" w:hAnsi="Times New Roman"/>
        </w:rPr>
        <w:t>consultants have developed an estimate</w:t>
      </w:r>
      <w:r w:rsidR="008F361C">
        <w:rPr>
          <w:rFonts w:ascii="Times New Roman" w:hAnsi="Times New Roman"/>
        </w:rPr>
        <w:t xml:space="preserve"> </w:t>
      </w:r>
      <w:r w:rsidR="00DA0ACA">
        <w:rPr>
          <w:rFonts w:ascii="Times New Roman" w:hAnsi="Times New Roman"/>
        </w:rPr>
        <w:t xml:space="preserve">for </w:t>
      </w:r>
      <w:r w:rsidR="00BC52F5">
        <w:rPr>
          <w:rFonts w:ascii="Times New Roman" w:hAnsi="Times New Roman"/>
        </w:rPr>
        <w:t xml:space="preserve">new </w:t>
      </w:r>
      <w:r w:rsidR="00DA0ACA">
        <w:rPr>
          <w:rFonts w:ascii="Times New Roman" w:hAnsi="Times New Roman"/>
        </w:rPr>
        <w:t xml:space="preserve">construction, </w:t>
      </w:r>
      <w:r w:rsidR="00BC52F5">
        <w:rPr>
          <w:rFonts w:ascii="Times New Roman" w:hAnsi="Times New Roman"/>
        </w:rPr>
        <w:t xml:space="preserve">renovations, </w:t>
      </w:r>
      <w:r w:rsidR="00DA0ACA">
        <w:rPr>
          <w:rFonts w:ascii="Times New Roman" w:hAnsi="Times New Roman"/>
        </w:rPr>
        <w:t xml:space="preserve">kitchen equipment, food venue fit-out, ballroom </w:t>
      </w:r>
      <w:r w:rsidR="002B6B43">
        <w:rPr>
          <w:rFonts w:ascii="Times New Roman" w:hAnsi="Times New Roman"/>
        </w:rPr>
        <w:t>improvements</w:t>
      </w:r>
      <w:r w:rsidR="00DA0ACA">
        <w:rPr>
          <w:rFonts w:ascii="Times New Roman" w:hAnsi="Times New Roman"/>
        </w:rPr>
        <w:t xml:space="preserve">, and office and seating furnishings for the </w:t>
      </w:r>
      <w:r w:rsidR="00B20F8C">
        <w:rPr>
          <w:rFonts w:ascii="Times New Roman" w:hAnsi="Times New Roman"/>
        </w:rPr>
        <w:t xml:space="preserve">first phase of the </w:t>
      </w:r>
      <w:r w:rsidR="00164E7E">
        <w:rPr>
          <w:rFonts w:ascii="Times New Roman" w:hAnsi="Times New Roman"/>
        </w:rPr>
        <w:t>Bone Student Center Revitalization</w:t>
      </w:r>
      <w:r w:rsidR="007F18AB">
        <w:rPr>
          <w:rFonts w:ascii="Times New Roman" w:hAnsi="Times New Roman"/>
        </w:rPr>
        <w:t>;</w:t>
      </w:r>
      <w:r w:rsidR="00941C20">
        <w:rPr>
          <w:rFonts w:ascii="Times New Roman" w:hAnsi="Times New Roman"/>
        </w:rPr>
        <w:t xml:space="preserve"> and </w:t>
      </w:r>
    </w:p>
    <w:p w:rsidR="00941C20" w:rsidRDefault="00941C20" w:rsidP="00986762">
      <w:pPr>
        <w:rPr>
          <w:rFonts w:ascii="Times New Roman" w:hAnsi="Times New Roman"/>
        </w:rPr>
      </w:pPr>
    </w:p>
    <w:p w:rsidR="00636C34" w:rsidRDefault="00941C20" w:rsidP="00986762">
      <w:pPr>
        <w:rPr>
          <w:rFonts w:ascii="Times New Roman" w:hAnsi="Times New Roman"/>
        </w:rPr>
      </w:pPr>
      <w:r>
        <w:rPr>
          <w:rFonts w:ascii="Times New Roman" w:hAnsi="Times New Roman"/>
        </w:rPr>
        <w:t xml:space="preserve">Whereas, </w:t>
      </w:r>
      <w:r w:rsidR="008F36FB">
        <w:rPr>
          <w:rFonts w:ascii="Times New Roman" w:hAnsi="Times New Roman"/>
        </w:rPr>
        <w:t xml:space="preserve">a funding plan has been developed </w:t>
      </w:r>
      <w:r w:rsidR="00A7654C">
        <w:rPr>
          <w:rFonts w:ascii="Times New Roman" w:hAnsi="Times New Roman"/>
        </w:rPr>
        <w:t xml:space="preserve">for this project </w:t>
      </w:r>
      <w:r w:rsidR="004709D3">
        <w:rPr>
          <w:rFonts w:ascii="Times New Roman" w:hAnsi="Times New Roman"/>
        </w:rPr>
        <w:t xml:space="preserve">utilizing </w:t>
      </w:r>
      <w:r w:rsidR="00A7654C">
        <w:rPr>
          <w:rFonts w:ascii="Times New Roman" w:hAnsi="Times New Roman"/>
        </w:rPr>
        <w:t xml:space="preserve"> reserve funds in Campus Dining and the Bone Student Center, proceeds from a new </w:t>
      </w:r>
      <w:r w:rsidR="004709D3">
        <w:rPr>
          <w:rFonts w:ascii="Times New Roman" w:hAnsi="Times New Roman"/>
        </w:rPr>
        <w:t xml:space="preserve">future </w:t>
      </w:r>
      <w:r w:rsidR="00A7654C">
        <w:rPr>
          <w:rFonts w:ascii="Times New Roman" w:hAnsi="Times New Roman"/>
        </w:rPr>
        <w:t>bond issue</w:t>
      </w:r>
      <w:r w:rsidR="00636C34">
        <w:rPr>
          <w:rFonts w:ascii="Times New Roman" w:hAnsi="Times New Roman"/>
        </w:rPr>
        <w:t xml:space="preserve">, and </w:t>
      </w:r>
      <w:r w:rsidR="004709D3">
        <w:rPr>
          <w:rFonts w:ascii="Times New Roman" w:hAnsi="Times New Roman"/>
        </w:rPr>
        <w:t xml:space="preserve">funds from </w:t>
      </w:r>
      <w:r w:rsidR="00636C34">
        <w:rPr>
          <w:rFonts w:ascii="Times New Roman" w:hAnsi="Times New Roman"/>
        </w:rPr>
        <w:t xml:space="preserve">the Dean of Students Office; and </w:t>
      </w:r>
    </w:p>
    <w:p w:rsidR="00636C34" w:rsidRDefault="00636C34" w:rsidP="00986762">
      <w:pPr>
        <w:rPr>
          <w:rFonts w:ascii="Times New Roman" w:hAnsi="Times New Roman"/>
        </w:rPr>
      </w:pPr>
    </w:p>
    <w:p w:rsidR="00941C20" w:rsidRDefault="00636C34" w:rsidP="00986762">
      <w:pPr>
        <w:rPr>
          <w:rFonts w:ascii="Times New Roman" w:hAnsi="Times New Roman"/>
        </w:rPr>
      </w:pPr>
      <w:r>
        <w:rPr>
          <w:rFonts w:ascii="Times New Roman" w:hAnsi="Times New Roman"/>
        </w:rPr>
        <w:t xml:space="preserve">Whereas, the funding </w:t>
      </w:r>
      <w:r w:rsidR="00A71114">
        <w:rPr>
          <w:rFonts w:ascii="Times New Roman" w:hAnsi="Times New Roman"/>
        </w:rPr>
        <w:t xml:space="preserve">for </w:t>
      </w:r>
      <w:r>
        <w:rPr>
          <w:rFonts w:ascii="Times New Roman" w:hAnsi="Times New Roman"/>
        </w:rPr>
        <w:t xml:space="preserve">this project </w:t>
      </w:r>
      <w:r w:rsidR="00CE5E1F">
        <w:rPr>
          <w:rFonts w:ascii="Times New Roman" w:hAnsi="Times New Roman"/>
        </w:rPr>
        <w:t xml:space="preserve">comes primarily from </w:t>
      </w:r>
      <w:r w:rsidR="004709D3">
        <w:rPr>
          <w:rFonts w:ascii="Times New Roman" w:hAnsi="Times New Roman"/>
        </w:rPr>
        <w:t xml:space="preserve">available </w:t>
      </w:r>
      <w:r w:rsidR="00CE5E1F">
        <w:rPr>
          <w:rFonts w:ascii="Times New Roman" w:hAnsi="Times New Roman"/>
        </w:rPr>
        <w:t xml:space="preserve">reserve funds and </w:t>
      </w:r>
      <w:r>
        <w:rPr>
          <w:rFonts w:ascii="Times New Roman" w:hAnsi="Times New Roman"/>
        </w:rPr>
        <w:t>no new student fee or increase</w:t>
      </w:r>
      <w:r w:rsidR="004D739B">
        <w:rPr>
          <w:rFonts w:ascii="Times New Roman" w:hAnsi="Times New Roman"/>
        </w:rPr>
        <w:t xml:space="preserve"> </w:t>
      </w:r>
      <w:r w:rsidR="00CE5E1F">
        <w:rPr>
          <w:rFonts w:ascii="Times New Roman" w:hAnsi="Times New Roman"/>
        </w:rPr>
        <w:t xml:space="preserve">in </w:t>
      </w:r>
      <w:r w:rsidR="004709D3">
        <w:rPr>
          <w:rFonts w:ascii="Times New Roman" w:hAnsi="Times New Roman"/>
        </w:rPr>
        <w:t xml:space="preserve">existing </w:t>
      </w:r>
      <w:r w:rsidR="00A259CC">
        <w:rPr>
          <w:rFonts w:ascii="Times New Roman" w:hAnsi="Times New Roman"/>
        </w:rPr>
        <w:t xml:space="preserve">student </w:t>
      </w:r>
      <w:r>
        <w:rPr>
          <w:rFonts w:ascii="Times New Roman" w:hAnsi="Times New Roman"/>
        </w:rPr>
        <w:t>fee</w:t>
      </w:r>
      <w:r w:rsidR="004709D3">
        <w:rPr>
          <w:rFonts w:ascii="Times New Roman" w:hAnsi="Times New Roman"/>
        </w:rPr>
        <w:t>s</w:t>
      </w:r>
      <w:r w:rsidR="00CE5E1F">
        <w:rPr>
          <w:rFonts w:ascii="Times New Roman" w:hAnsi="Times New Roman"/>
        </w:rPr>
        <w:t xml:space="preserve"> will be necessary to pay for new bonds issued for the project</w:t>
      </w:r>
      <w:r>
        <w:rPr>
          <w:rFonts w:ascii="Times New Roman" w:hAnsi="Times New Roman"/>
        </w:rPr>
        <w:t>:</w:t>
      </w:r>
      <w:r w:rsidR="00A7654C">
        <w:rPr>
          <w:rFonts w:ascii="Times New Roman" w:hAnsi="Times New Roman"/>
        </w:rPr>
        <w:t xml:space="preserve">  </w:t>
      </w:r>
    </w:p>
    <w:p w:rsidR="00C906CC" w:rsidRDefault="00C906CC" w:rsidP="00227C71">
      <w:pPr>
        <w:rPr>
          <w:rFonts w:ascii="Times New Roman" w:hAnsi="Times New Roman"/>
        </w:rPr>
      </w:pPr>
    </w:p>
    <w:p w:rsidR="00DA0ACA" w:rsidRPr="005E50C6" w:rsidRDefault="00DA0ACA" w:rsidP="00DA0ACA">
      <w:pPr>
        <w:rPr>
          <w:rFonts w:ascii="Times New Roman" w:hAnsi="Times New Roman"/>
        </w:rPr>
      </w:pPr>
      <w:r w:rsidRPr="00C96564">
        <w:rPr>
          <w:rFonts w:ascii="Times New Roman" w:hAnsi="Times New Roman"/>
        </w:rPr>
        <w:t>Therefore, be it resolved that the Board of Trustees authorizes a capital project</w:t>
      </w:r>
      <w:r>
        <w:rPr>
          <w:rFonts w:ascii="Times New Roman" w:hAnsi="Times New Roman"/>
        </w:rPr>
        <w:t xml:space="preserve"> for</w:t>
      </w:r>
      <w:r w:rsidR="001D419A">
        <w:rPr>
          <w:rFonts w:ascii="Times New Roman" w:hAnsi="Times New Roman"/>
        </w:rPr>
        <w:t xml:space="preserve"> the first phase of </w:t>
      </w:r>
      <w:r>
        <w:rPr>
          <w:rFonts w:ascii="Times New Roman" w:hAnsi="Times New Roman"/>
        </w:rPr>
        <w:t xml:space="preserve">the Bone Student Center </w:t>
      </w:r>
      <w:r w:rsidR="00B20F8C">
        <w:rPr>
          <w:rFonts w:ascii="Times New Roman" w:hAnsi="Times New Roman"/>
        </w:rPr>
        <w:t>Revitalization</w:t>
      </w:r>
      <w:r>
        <w:rPr>
          <w:rFonts w:ascii="Times New Roman" w:hAnsi="Times New Roman"/>
        </w:rPr>
        <w:t xml:space="preserve">, </w:t>
      </w:r>
      <w:r w:rsidR="009339FD">
        <w:rPr>
          <w:rFonts w:ascii="Times New Roman" w:hAnsi="Times New Roman"/>
        </w:rPr>
        <w:t>develop</w:t>
      </w:r>
      <w:r w:rsidR="008F36FB">
        <w:rPr>
          <w:rFonts w:ascii="Times New Roman" w:hAnsi="Times New Roman"/>
        </w:rPr>
        <w:t xml:space="preserve">ment of </w:t>
      </w:r>
      <w:r w:rsidR="009339FD">
        <w:rPr>
          <w:rFonts w:ascii="Times New Roman" w:hAnsi="Times New Roman"/>
        </w:rPr>
        <w:t>required design</w:t>
      </w:r>
      <w:r w:rsidRPr="00C96564">
        <w:rPr>
          <w:rFonts w:ascii="Times New Roman" w:hAnsi="Times New Roman"/>
        </w:rPr>
        <w:t xml:space="preserve"> and construction documents, advertise</w:t>
      </w:r>
      <w:r w:rsidR="008F36FB">
        <w:rPr>
          <w:rFonts w:ascii="Times New Roman" w:hAnsi="Times New Roman"/>
        </w:rPr>
        <w:t>ment</w:t>
      </w:r>
      <w:r w:rsidRPr="00C96564">
        <w:rPr>
          <w:rFonts w:ascii="Times New Roman" w:hAnsi="Times New Roman"/>
        </w:rPr>
        <w:t>, rece</w:t>
      </w:r>
      <w:r w:rsidR="008F36FB">
        <w:rPr>
          <w:rFonts w:ascii="Times New Roman" w:hAnsi="Times New Roman"/>
        </w:rPr>
        <w:t>ipt</w:t>
      </w:r>
      <w:r w:rsidRPr="00C96564">
        <w:rPr>
          <w:rFonts w:ascii="Times New Roman" w:hAnsi="Times New Roman"/>
        </w:rPr>
        <w:t xml:space="preserve"> and</w:t>
      </w:r>
      <w:r>
        <w:rPr>
          <w:rFonts w:ascii="Times New Roman" w:hAnsi="Times New Roman"/>
        </w:rPr>
        <w:t xml:space="preserve"> </w:t>
      </w:r>
      <w:r w:rsidRPr="00C96564">
        <w:rPr>
          <w:rFonts w:ascii="Times New Roman" w:hAnsi="Times New Roman"/>
        </w:rPr>
        <w:t>award</w:t>
      </w:r>
      <w:r w:rsidR="008F36FB">
        <w:rPr>
          <w:rFonts w:ascii="Times New Roman" w:hAnsi="Times New Roman"/>
        </w:rPr>
        <w:t xml:space="preserve"> of</w:t>
      </w:r>
      <w:r w:rsidRPr="00C96564">
        <w:rPr>
          <w:rFonts w:ascii="Times New Roman" w:hAnsi="Times New Roman"/>
        </w:rPr>
        <w:t xml:space="preserve"> public bids and construction.</w:t>
      </w:r>
    </w:p>
    <w:p w:rsidR="00DA0ACA" w:rsidRDefault="00DA0ACA" w:rsidP="00DA0ACA">
      <w:pPr>
        <w:rPr>
          <w:rFonts w:ascii="Times New Roman" w:hAnsi="Times New Roman"/>
          <w:szCs w:val="20"/>
        </w:rPr>
      </w:pPr>
    </w:p>
    <w:p w:rsidR="00236795" w:rsidRDefault="00236795" w:rsidP="00DA0ACA">
      <w:pPr>
        <w:spacing w:before="100" w:beforeAutospacing="1"/>
        <w:contextualSpacing/>
        <w:rPr>
          <w:rFonts w:ascii="Times New Roman" w:hAnsi="Times New Roman"/>
        </w:rPr>
      </w:pPr>
    </w:p>
    <w:p w:rsidR="00236795" w:rsidRDefault="00236795" w:rsidP="00DA0ACA">
      <w:pPr>
        <w:spacing w:before="100" w:beforeAutospacing="1"/>
        <w:contextualSpacing/>
        <w:rPr>
          <w:rFonts w:ascii="Times New Roman" w:hAnsi="Times New Roman"/>
        </w:rPr>
      </w:pPr>
    </w:p>
    <w:p w:rsidR="00236795" w:rsidRDefault="00236795" w:rsidP="00DA0ACA">
      <w:pPr>
        <w:spacing w:before="100" w:beforeAutospacing="1"/>
        <w:contextualSpacing/>
        <w:rPr>
          <w:rFonts w:ascii="Times New Roman" w:hAnsi="Times New Roman"/>
        </w:rPr>
      </w:pPr>
    </w:p>
    <w:p w:rsidR="00DA0ACA" w:rsidRDefault="00DA0ACA" w:rsidP="00DA0ACA">
      <w:pPr>
        <w:spacing w:before="100" w:beforeAutospacing="1"/>
        <w:contextualSpacing/>
        <w:rPr>
          <w:rFonts w:ascii="Times New Roman" w:hAnsi="Times New Roman"/>
        </w:rPr>
      </w:pPr>
      <w:r>
        <w:rPr>
          <w:rFonts w:ascii="Times New Roman" w:hAnsi="Times New Roman"/>
        </w:rPr>
        <w:lastRenderedPageBreak/>
        <w:t xml:space="preserve">Therefore, be it </w:t>
      </w:r>
      <w:r w:rsidR="009974CB">
        <w:rPr>
          <w:rFonts w:ascii="Times New Roman" w:hAnsi="Times New Roman"/>
        </w:rPr>
        <w:t xml:space="preserve">further </w:t>
      </w:r>
      <w:r>
        <w:rPr>
          <w:rFonts w:ascii="Times New Roman" w:hAnsi="Times New Roman"/>
        </w:rPr>
        <w:t>resolved that the Board of Trustee</w:t>
      </w:r>
      <w:r w:rsidR="00012C00">
        <w:rPr>
          <w:rFonts w:ascii="Times New Roman" w:hAnsi="Times New Roman"/>
        </w:rPr>
        <w:t xml:space="preserve">s authorizes expenditures </w:t>
      </w:r>
      <w:r w:rsidR="008F36FB">
        <w:rPr>
          <w:rFonts w:ascii="Times New Roman" w:hAnsi="Times New Roman"/>
        </w:rPr>
        <w:t>not to exceed $32.9 million</w:t>
      </w:r>
      <w:r>
        <w:rPr>
          <w:rFonts w:ascii="Times New Roman" w:hAnsi="Times New Roman"/>
        </w:rPr>
        <w:t xml:space="preserve"> for this project.</w:t>
      </w:r>
      <w:r w:rsidRPr="00523AFF">
        <w:rPr>
          <w:rFonts w:ascii="Times New Roman" w:hAnsi="Times New Roman"/>
        </w:rPr>
        <w:t xml:space="preserve"> </w:t>
      </w:r>
    </w:p>
    <w:p w:rsidR="00D22FA6" w:rsidRPr="00C96564" w:rsidRDefault="00D22FA6" w:rsidP="00D22FA6">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A0ACA" w:rsidRDefault="00D22FA6" w:rsidP="00D22FA6">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sidR="00DB69A9">
        <w:rPr>
          <w:rFonts w:ascii="Times New Roman" w:hAnsi="Times New Roman"/>
        </w:rPr>
        <w:t xml:space="preserve"> </w:t>
      </w:r>
      <w:r w:rsidR="00BE0BD5">
        <w:rPr>
          <w:rFonts w:ascii="Times New Roman" w:hAnsi="Times New Roman"/>
        </w:rPr>
        <w:t xml:space="preserve">       </w:t>
      </w:r>
      <w:r w:rsidR="00DB69A9">
        <w:rPr>
          <w:rFonts w:ascii="Times New Roman" w:hAnsi="Times New Roman"/>
        </w:rPr>
        <w:t xml:space="preserve"> </w:t>
      </w:r>
      <w:r w:rsidR="002376B0">
        <w:rPr>
          <w:rFonts w:ascii="Times New Roman" w:hAnsi="Times New Roman"/>
          <w:u w:val="single"/>
        </w:rPr>
        <w:t>A</w:t>
      </w:r>
      <w:r w:rsidR="00855B57">
        <w:rPr>
          <w:rFonts w:ascii="Times New Roman" w:hAnsi="Times New Roman"/>
          <w:u w:val="single"/>
        </w:rPr>
        <w:t xml:space="preserve">TTEST: Board Action, </w:t>
      </w:r>
      <w:r w:rsidR="003607B0">
        <w:rPr>
          <w:rFonts w:ascii="Times New Roman" w:hAnsi="Times New Roman"/>
          <w:u w:val="single"/>
        </w:rPr>
        <w:t>May 8</w:t>
      </w:r>
      <w:r w:rsidRPr="00C96564">
        <w:rPr>
          <w:rFonts w:ascii="Times New Roman" w:hAnsi="Times New Roman"/>
          <w:u w:val="single"/>
        </w:rPr>
        <w:t xml:space="preserve">, </w:t>
      </w:r>
      <w:r w:rsidR="006F5244" w:rsidRPr="00C96564">
        <w:rPr>
          <w:rFonts w:ascii="Times New Roman" w:hAnsi="Times New Roman"/>
          <w:u w:val="single"/>
        </w:rPr>
        <w:t>20</w:t>
      </w:r>
      <w:r w:rsidR="006F5244">
        <w:rPr>
          <w:rFonts w:ascii="Times New Roman" w:hAnsi="Times New Roman"/>
          <w:u w:val="single"/>
        </w:rPr>
        <w:t>15</w:t>
      </w:r>
    </w:p>
    <w:p w:rsidR="004E6F27" w:rsidRPr="00DA0ACA" w:rsidRDefault="004E6F27" w:rsidP="00D22FA6">
      <w:pPr>
        <w:ind w:right="-720"/>
        <w:rPr>
          <w:rFonts w:ascii="Times New Roman" w:hAnsi="Times New Roman"/>
          <w:u w:val="single"/>
        </w:rPr>
      </w:pPr>
    </w:p>
    <w:p w:rsidR="006F5244" w:rsidRDefault="00D22FA6" w:rsidP="00D22FA6">
      <w:pPr>
        <w:ind w:right="-720"/>
        <w:rPr>
          <w:rFonts w:ascii="Times New Roman" w:hAnsi="Times New Roman"/>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p>
    <w:p w:rsidR="00D22FA6" w:rsidRPr="00C96564" w:rsidRDefault="00D22FA6" w:rsidP="00D22FA6">
      <w:pPr>
        <w:ind w:right="-720"/>
        <w:rPr>
          <w:rFonts w:ascii="Times New Roman" w:hAnsi="Times New Roman"/>
        </w:rPr>
      </w:pPr>
      <w:r w:rsidRPr="00C96564">
        <w:rPr>
          <w:rFonts w:ascii="Times New Roman" w:hAnsi="Times New Roman"/>
        </w:rPr>
        <w:tab/>
        <w:t xml:space="preserve">                                                                                                                                  Secretary/Chairperson</w:t>
      </w:r>
    </w:p>
    <w:p w:rsidR="00D22FA6" w:rsidRPr="00C96564" w:rsidRDefault="00986762" w:rsidP="00986762">
      <w:pPr>
        <w:autoSpaceDE/>
        <w:autoSpaceDN/>
        <w:jc w:val="center"/>
        <w:rPr>
          <w:rFonts w:ascii="Times New Roman" w:hAnsi="Times New Roman"/>
          <w:b/>
        </w:rPr>
      </w:pPr>
      <w:r>
        <w:rPr>
          <w:rFonts w:ascii="Times New Roman" w:hAnsi="Times New Roman"/>
          <w:b/>
        </w:rPr>
        <w:br w:type="page"/>
      </w:r>
      <w:r w:rsidR="00D22FA6" w:rsidRPr="00C96564">
        <w:rPr>
          <w:rFonts w:ascii="Times New Roman" w:hAnsi="Times New Roman"/>
          <w:b/>
        </w:rPr>
        <w:lastRenderedPageBreak/>
        <w:t>Board of Trustees</w:t>
      </w:r>
    </w:p>
    <w:p w:rsidR="00425F55" w:rsidRPr="00C96564" w:rsidRDefault="00D22FA6" w:rsidP="003607B0">
      <w:pPr>
        <w:jc w:val="center"/>
        <w:rPr>
          <w:rFonts w:ascii="Times New Roman" w:hAnsi="Times New Roman"/>
          <w:b/>
        </w:rPr>
      </w:pPr>
      <w:r w:rsidRPr="00C96564">
        <w:rPr>
          <w:rFonts w:ascii="Times New Roman" w:hAnsi="Times New Roman"/>
          <w:b/>
        </w:rPr>
        <w:t>Illinois State University</w:t>
      </w:r>
    </w:p>
    <w:p w:rsidR="00D22FA6" w:rsidRPr="00425F55" w:rsidRDefault="00425F55" w:rsidP="00425F55">
      <w:pPr>
        <w:jc w:val="center"/>
        <w:rPr>
          <w:rFonts w:ascii="Times New Roman" w:hAnsi="Times New Roman"/>
        </w:rPr>
      </w:pPr>
      <w:r>
        <w:rPr>
          <w:rFonts w:ascii="Times New Roman" w:hAnsi="Times New Roman"/>
          <w:b/>
        </w:rPr>
        <w:t xml:space="preserve">Supplemental Information for </w:t>
      </w:r>
      <w:r w:rsidR="00A215E4">
        <w:rPr>
          <w:rFonts w:ascii="Times New Roman" w:hAnsi="Times New Roman"/>
          <w:b/>
        </w:rPr>
        <w:t xml:space="preserve">Bone Student Center </w:t>
      </w:r>
      <w:r w:rsidR="00D60AA5">
        <w:rPr>
          <w:rFonts w:ascii="Times New Roman" w:hAnsi="Times New Roman"/>
          <w:b/>
        </w:rPr>
        <w:t>Revitalization</w:t>
      </w:r>
      <w:r w:rsidR="00B4186A">
        <w:rPr>
          <w:rFonts w:ascii="Times New Roman" w:hAnsi="Times New Roman"/>
          <w:b/>
        </w:rPr>
        <w:t>, Phase I</w:t>
      </w:r>
      <w:r w:rsidR="0084072E">
        <w:rPr>
          <w:rFonts w:ascii="Times New Roman" w:hAnsi="Times New Roman"/>
          <w:b/>
        </w:rPr>
        <w:t xml:space="preserve"> Construction</w:t>
      </w:r>
    </w:p>
    <w:p w:rsidR="00CF0A2D" w:rsidRDefault="00CF0A2D" w:rsidP="00227C71">
      <w:pPr>
        <w:rPr>
          <w:rFonts w:ascii="Times New Roman" w:hAnsi="Times New Roman"/>
        </w:rPr>
      </w:pPr>
    </w:p>
    <w:p w:rsidR="00BE0BD5" w:rsidRDefault="00497C8E" w:rsidP="00227C71">
      <w:pPr>
        <w:rPr>
          <w:rFonts w:ascii="Times New Roman" w:hAnsi="Times New Roman"/>
        </w:rPr>
      </w:pPr>
      <w:r>
        <w:rPr>
          <w:rFonts w:ascii="Times New Roman" w:hAnsi="Times New Roman"/>
        </w:rPr>
        <w:t xml:space="preserve">This item </w:t>
      </w:r>
      <w:r w:rsidR="00967C39">
        <w:rPr>
          <w:rFonts w:ascii="Times New Roman" w:hAnsi="Times New Roman"/>
        </w:rPr>
        <w:t>seeks Board of Trustees approval for</w:t>
      </w:r>
      <w:r w:rsidR="008F361C">
        <w:rPr>
          <w:rFonts w:ascii="Times New Roman" w:hAnsi="Times New Roman"/>
        </w:rPr>
        <w:t xml:space="preserve"> the construction of</w:t>
      </w:r>
      <w:r w:rsidR="00967C39">
        <w:rPr>
          <w:rFonts w:ascii="Times New Roman" w:hAnsi="Times New Roman"/>
        </w:rPr>
        <w:t xml:space="preserve"> the Bone Student Center Revitalization</w:t>
      </w:r>
      <w:r w:rsidR="00326900">
        <w:rPr>
          <w:rFonts w:ascii="Times New Roman" w:hAnsi="Times New Roman"/>
        </w:rPr>
        <w:t>, Phase I</w:t>
      </w:r>
      <w:r w:rsidR="008F361C">
        <w:rPr>
          <w:rFonts w:ascii="Times New Roman" w:hAnsi="Times New Roman"/>
        </w:rPr>
        <w:t xml:space="preserve"> </w:t>
      </w:r>
      <w:r w:rsidR="00967C39">
        <w:rPr>
          <w:rFonts w:ascii="Times New Roman" w:hAnsi="Times New Roman"/>
        </w:rPr>
        <w:t xml:space="preserve">project. </w:t>
      </w:r>
    </w:p>
    <w:p w:rsidR="004C6492" w:rsidRDefault="00967C39" w:rsidP="00227C71">
      <w:pPr>
        <w:rPr>
          <w:rFonts w:ascii="Times New Roman" w:hAnsi="Times New Roman"/>
        </w:rPr>
      </w:pPr>
      <w:r>
        <w:rPr>
          <w:rFonts w:ascii="Times New Roman" w:hAnsi="Times New Roman"/>
        </w:rPr>
        <w:t xml:space="preserve">  </w:t>
      </w:r>
    </w:p>
    <w:p w:rsidR="0015435B" w:rsidRDefault="006723A5" w:rsidP="00227C71">
      <w:pPr>
        <w:rPr>
          <w:rFonts w:ascii="Times New Roman" w:hAnsi="Times New Roman"/>
        </w:rPr>
      </w:pPr>
      <w:proofErr w:type="gramStart"/>
      <w:r>
        <w:rPr>
          <w:rFonts w:ascii="Times New Roman" w:hAnsi="Times New Roman"/>
          <w:b/>
        </w:rPr>
        <w:t>Background.</w:t>
      </w:r>
      <w:proofErr w:type="gramEnd"/>
      <w:r w:rsidR="00B54BE0">
        <w:rPr>
          <w:rFonts w:ascii="Times New Roman" w:hAnsi="Times New Roman"/>
        </w:rPr>
        <w:t xml:space="preserve">   </w:t>
      </w:r>
      <w:r w:rsidR="00FC1ABD">
        <w:rPr>
          <w:rFonts w:ascii="Times New Roman" w:hAnsi="Times New Roman"/>
          <w:i/>
        </w:rPr>
        <w:t xml:space="preserve">Master Plan 2010-2030:  Looking to the </w:t>
      </w:r>
      <w:r w:rsidR="00FC1ABD" w:rsidRPr="00FC1ABD">
        <w:rPr>
          <w:rFonts w:ascii="Times New Roman" w:hAnsi="Times New Roman"/>
          <w:i/>
        </w:rPr>
        <w:t>Future</w:t>
      </w:r>
      <w:r w:rsidR="00FC1ABD">
        <w:rPr>
          <w:rFonts w:ascii="Times New Roman" w:hAnsi="Times New Roman"/>
          <w:i/>
        </w:rPr>
        <w:t xml:space="preserve">, </w:t>
      </w:r>
      <w:r w:rsidR="005354ED">
        <w:rPr>
          <w:rFonts w:ascii="Times New Roman" w:hAnsi="Times New Roman"/>
        </w:rPr>
        <w:t xml:space="preserve">approved by the Board of Trustees in February 2011, presents </w:t>
      </w:r>
      <w:r w:rsidR="0015435B">
        <w:rPr>
          <w:rFonts w:ascii="Times New Roman" w:hAnsi="Times New Roman"/>
        </w:rPr>
        <w:t xml:space="preserve">a </w:t>
      </w:r>
      <w:r w:rsidR="005354ED">
        <w:rPr>
          <w:rFonts w:ascii="Times New Roman" w:hAnsi="Times New Roman"/>
        </w:rPr>
        <w:t>long range plan for the continuing transformation of the University’s facilities and environment.  One of the recommendations in the plan calls for the renovation of the Bone Student Center, a facility constructed in 1973 that has received only minor upgrades since it opened over 40 years ago.</w:t>
      </w:r>
      <w:r w:rsidR="0015435B">
        <w:rPr>
          <w:rFonts w:ascii="Times New Roman" w:hAnsi="Times New Roman"/>
        </w:rPr>
        <w:t xml:space="preserve">  As the facility that serves as the gateway for many campus visitors, including prospective students and their families, </w:t>
      </w:r>
      <w:r w:rsidR="0084072E">
        <w:rPr>
          <w:rFonts w:ascii="Times New Roman" w:hAnsi="Times New Roman"/>
        </w:rPr>
        <w:t xml:space="preserve">revitalization </w:t>
      </w:r>
      <w:r w:rsidR="0015435B">
        <w:rPr>
          <w:rFonts w:ascii="Times New Roman" w:hAnsi="Times New Roman"/>
        </w:rPr>
        <w:t>of Bo</w:t>
      </w:r>
      <w:r w:rsidR="005D3D43">
        <w:rPr>
          <w:rFonts w:ascii="Times New Roman" w:hAnsi="Times New Roman"/>
        </w:rPr>
        <w:t>ne Student Center</w:t>
      </w:r>
      <w:r w:rsidR="00F12BFE">
        <w:rPr>
          <w:rFonts w:ascii="Times New Roman" w:hAnsi="Times New Roman"/>
        </w:rPr>
        <w:t xml:space="preserve"> is important to enhancing the appearance of </w:t>
      </w:r>
      <w:r w:rsidR="0084072E">
        <w:rPr>
          <w:rFonts w:ascii="Times New Roman" w:hAnsi="Times New Roman"/>
        </w:rPr>
        <w:t xml:space="preserve">the </w:t>
      </w:r>
      <w:r w:rsidR="002D5EA1">
        <w:rPr>
          <w:rFonts w:ascii="Times New Roman" w:hAnsi="Times New Roman"/>
        </w:rPr>
        <w:t xml:space="preserve">north entrance to the </w:t>
      </w:r>
      <w:r w:rsidR="00F12BFE">
        <w:rPr>
          <w:rFonts w:ascii="Times New Roman" w:hAnsi="Times New Roman"/>
        </w:rPr>
        <w:t xml:space="preserve">campus </w:t>
      </w:r>
      <w:r w:rsidR="002D5EA1">
        <w:rPr>
          <w:rFonts w:ascii="Times New Roman" w:hAnsi="Times New Roman"/>
        </w:rPr>
        <w:t xml:space="preserve">and north Quad as well as </w:t>
      </w:r>
      <w:r w:rsidR="00F12BFE">
        <w:rPr>
          <w:rFonts w:ascii="Times New Roman" w:hAnsi="Times New Roman"/>
        </w:rPr>
        <w:t>to enhancing services for students</w:t>
      </w:r>
      <w:r w:rsidR="002D5EA1">
        <w:rPr>
          <w:rFonts w:ascii="Times New Roman" w:hAnsi="Times New Roman"/>
        </w:rPr>
        <w:t>, faculty, staff and others</w:t>
      </w:r>
      <w:r w:rsidR="00F12BFE">
        <w:rPr>
          <w:rFonts w:ascii="Times New Roman" w:hAnsi="Times New Roman"/>
        </w:rPr>
        <w:t xml:space="preserve">. </w:t>
      </w:r>
    </w:p>
    <w:p w:rsidR="0015435B" w:rsidRDefault="0015435B" w:rsidP="00227C71">
      <w:pPr>
        <w:rPr>
          <w:rFonts w:ascii="Times New Roman" w:hAnsi="Times New Roman"/>
        </w:rPr>
      </w:pPr>
    </w:p>
    <w:p w:rsidR="00D173B5" w:rsidRDefault="00B54BE0" w:rsidP="00227C71">
      <w:pPr>
        <w:rPr>
          <w:rFonts w:ascii="Times New Roman" w:hAnsi="Times New Roman"/>
        </w:rPr>
      </w:pPr>
      <w:r>
        <w:rPr>
          <w:rFonts w:ascii="Times New Roman" w:hAnsi="Times New Roman"/>
        </w:rPr>
        <w:t xml:space="preserve">The Board </w:t>
      </w:r>
      <w:r w:rsidR="002D5EA1">
        <w:rPr>
          <w:rFonts w:ascii="Times New Roman" w:hAnsi="Times New Roman"/>
        </w:rPr>
        <w:t xml:space="preserve">of Trustees initially </w:t>
      </w:r>
      <w:r>
        <w:rPr>
          <w:rFonts w:ascii="Times New Roman" w:hAnsi="Times New Roman"/>
        </w:rPr>
        <w:t xml:space="preserve">approved </w:t>
      </w:r>
      <w:r w:rsidR="002D5EA1">
        <w:rPr>
          <w:rFonts w:ascii="Times New Roman" w:hAnsi="Times New Roman"/>
        </w:rPr>
        <w:t xml:space="preserve">up to $2.0 million for planning the first phase of the Bone Student Center Revitalization project in May 2013.  </w:t>
      </w:r>
      <w:r w:rsidR="00BC52F5">
        <w:rPr>
          <w:rFonts w:ascii="Times New Roman" w:hAnsi="Times New Roman"/>
        </w:rPr>
        <w:t>A</w:t>
      </w:r>
      <w:r w:rsidR="006723A5">
        <w:rPr>
          <w:rFonts w:ascii="Times New Roman" w:hAnsi="Times New Roman"/>
        </w:rPr>
        <w:t xml:space="preserve"> public Quality Based Selection (QBS) process </w:t>
      </w:r>
      <w:r w:rsidR="002975AA">
        <w:rPr>
          <w:rFonts w:ascii="Times New Roman" w:hAnsi="Times New Roman"/>
        </w:rPr>
        <w:t xml:space="preserve">was </w:t>
      </w:r>
      <w:r w:rsidR="00394091">
        <w:rPr>
          <w:rFonts w:ascii="Times New Roman" w:hAnsi="Times New Roman"/>
        </w:rPr>
        <w:t xml:space="preserve">completed </w:t>
      </w:r>
      <w:r w:rsidR="002975AA">
        <w:rPr>
          <w:rFonts w:ascii="Times New Roman" w:hAnsi="Times New Roman"/>
        </w:rPr>
        <w:t xml:space="preserve">with </w:t>
      </w:r>
      <w:r w:rsidR="006723A5">
        <w:rPr>
          <w:rFonts w:ascii="Times New Roman" w:hAnsi="Times New Roman"/>
        </w:rPr>
        <w:t xml:space="preserve">collaboration </w:t>
      </w:r>
      <w:r w:rsidR="00A2529B">
        <w:rPr>
          <w:rFonts w:ascii="Times New Roman" w:hAnsi="Times New Roman"/>
        </w:rPr>
        <w:t>from</w:t>
      </w:r>
      <w:r w:rsidR="006723A5">
        <w:rPr>
          <w:rFonts w:ascii="Times New Roman" w:hAnsi="Times New Roman"/>
        </w:rPr>
        <w:t xml:space="preserve"> </w:t>
      </w:r>
      <w:r w:rsidR="00394091">
        <w:rPr>
          <w:rFonts w:ascii="Times New Roman" w:hAnsi="Times New Roman"/>
        </w:rPr>
        <w:t xml:space="preserve">project </w:t>
      </w:r>
      <w:r w:rsidR="006723A5">
        <w:rPr>
          <w:rFonts w:ascii="Times New Roman" w:hAnsi="Times New Roman"/>
        </w:rPr>
        <w:t>stakeholders, including Bone Student Center</w:t>
      </w:r>
      <w:r w:rsidR="00967C39">
        <w:rPr>
          <w:rFonts w:ascii="Times New Roman" w:hAnsi="Times New Roman"/>
        </w:rPr>
        <w:t xml:space="preserve">, </w:t>
      </w:r>
      <w:r w:rsidR="006723A5">
        <w:rPr>
          <w:rFonts w:ascii="Times New Roman" w:hAnsi="Times New Roman"/>
        </w:rPr>
        <w:t>Campus Dining Services</w:t>
      </w:r>
      <w:r w:rsidR="00967C39">
        <w:rPr>
          <w:rFonts w:ascii="Times New Roman" w:hAnsi="Times New Roman"/>
        </w:rPr>
        <w:t xml:space="preserve">, </w:t>
      </w:r>
      <w:proofErr w:type="gramStart"/>
      <w:r w:rsidR="00967C39">
        <w:rPr>
          <w:rFonts w:ascii="Times New Roman" w:hAnsi="Times New Roman"/>
        </w:rPr>
        <w:t>Dean</w:t>
      </w:r>
      <w:proofErr w:type="gramEnd"/>
      <w:r w:rsidR="00967C39">
        <w:rPr>
          <w:rFonts w:ascii="Times New Roman" w:hAnsi="Times New Roman"/>
        </w:rPr>
        <w:t xml:space="preserve"> of Students </w:t>
      </w:r>
      <w:r w:rsidR="00A71114">
        <w:rPr>
          <w:rFonts w:ascii="Times New Roman" w:hAnsi="Times New Roman"/>
        </w:rPr>
        <w:t>O</w:t>
      </w:r>
      <w:r w:rsidR="00326900">
        <w:rPr>
          <w:rFonts w:ascii="Times New Roman" w:hAnsi="Times New Roman"/>
        </w:rPr>
        <w:t xml:space="preserve">ffice, </w:t>
      </w:r>
      <w:r w:rsidR="002D5EA1">
        <w:rPr>
          <w:rFonts w:ascii="Times New Roman" w:hAnsi="Times New Roman"/>
        </w:rPr>
        <w:t>Provost</w:t>
      </w:r>
      <w:r w:rsidR="0084072E">
        <w:rPr>
          <w:rFonts w:ascii="Times New Roman" w:hAnsi="Times New Roman"/>
        </w:rPr>
        <w:t>’s</w:t>
      </w:r>
      <w:r w:rsidR="002D5EA1">
        <w:rPr>
          <w:rFonts w:ascii="Times New Roman" w:hAnsi="Times New Roman"/>
        </w:rPr>
        <w:t xml:space="preserve"> Office, </w:t>
      </w:r>
      <w:r w:rsidR="00394091">
        <w:rPr>
          <w:rFonts w:ascii="Times New Roman" w:hAnsi="Times New Roman"/>
        </w:rPr>
        <w:t xml:space="preserve">Milner Library </w:t>
      </w:r>
      <w:r w:rsidR="00967C39">
        <w:rPr>
          <w:rFonts w:ascii="Times New Roman" w:hAnsi="Times New Roman"/>
        </w:rPr>
        <w:t>and facilities leadership</w:t>
      </w:r>
      <w:r w:rsidR="006723A5">
        <w:rPr>
          <w:rFonts w:ascii="Times New Roman" w:hAnsi="Times New Roman"/>
        </w:rPr>
        <w:t xml:space="preserve">. Fifteen qualified submissions were received.  </w:t>
      </w:r>
      <w:r w:rsidR="002975AA">
        <w:rPr>
          <w:rFonts w:ascii="Times New Roman" w:hAnsi="Times New Roman"/>
        </w:rPr>
        <w:t>T</w:t>
      </w:r>
      <w:r w:rsidR="006723A5">
        <w:rPr>
          <w:rFonts w:ascii="Times New Roman" w:hAnsi="Times New Roman"/>
        </w:rPr>
        <w:t xml:space="preserve">he QBS and interview process resulted in the </w:t>
      </w:r>
      <w:r w:rsidR="004800DF">
        <w:rPr>
          <w:rFonts w:ascii="Times New Roman" w:hAnsi="Times New Roman"/>
        </w:rPr>
        <w:t xml:space="preserve">partnership </w:t>
      </w:r>
      <w:r w:rsidR="006723A5">
        <w:rPr>
          <w:rFonts w:ascii="Times New Roman" w:hAnsi="Times New Roman"/>
        </w:rPr>
        <w:t>of Dewberry</w:t>
      </w:r>
      <w:r w:rsidR="003E7816">
        <w:rPr>
          <w:rFonts w:ascii="Times New Roman" w:hAnsi="Times New Roman"/>
        </w:rPr>
        <w:t xml:space="preserve"> Architects, Inc. </w:t>
      </w:r>
      <w:r w:rsidR="006723A5">
        <w:rPr>
          <w:rFonts w:ascii="Times New Roman" w:hAnsi="Times New Roman"/>
        </w:rPr>
        <w:t xml:space="preserve">/Workshop Architects being </w:t>
      </w:r>
      <w:r w:rsidR="004800DF">
        <w:rPr>
          <w:rFonts w:ascii="Times New Roman" w:hAnsi="Times New Roman"/>
        </w:rPr>
        <w:t xml:space="preserve">selected to work with the University </w:t>
      </w:r>
      <w:r w:rsidR="008B786B">
        <w:rPr>
          <w:rFonts w:ascii="Times New Roman" w:hAnsi="Times New Roman"/>
        </w:rPr>
        <w:t>to</w:t>
      </w:r>
      <w:r w:rsidR="004800DF">
        <w:rPr>
          <w:rFonts w:ascii="Times New Roman" w:hAnsi="Times New Roman"/>
        </w:rPr>
        <w:t xml:space="preserve"> plan </w:t>
      </w:r>
      <w:r w:rsidR="002975AA">
        <w:rPr>
          <w:rFonts w:ascii="Times New Roman" w:hAnsi="Times New Roman"/>
        </w:rPr>
        <w:t>the first phase of the Bone</w:t>
      </w:r>
      <w:r w:rsidR="004800DF">
        <w:rPr>
          <w:rFonts w:ascii="Times New Roman" w:hAnsi="Times New Roman"/>
        </w:rPr>
        <w:t xml:space="preserve"> Student Center Revitalization project.</w:t>
      </w:r>
      <w:r w:rsidR="00A2529B">
        <w:rPr>
          <w:rFonts w:ascii="Times New Roman" w:hAnsi="Times New Roman"/>
        </w:rPr>
        <w:t xml:space="preserve"> </w:t>
      </w:r>
      <w:r w:rsidR="002D5EA1">
        <w:rPr>
          <w:rFonts w:ascii="Times New Roman" w:hAnsi="Times New Roman"/>
        </w:rPr>
        <w:t xml:space="preserve"> During the course of the initial planning, opportunities to address other objectives in the first phase of the project were realized, and the Board approved a revised project scope in May 2014.</w:t>
      </w:r>
      <w:r w:rsidR="0084072E">
        <w:rPr>
          <w:rFonts w:ascii="Times New Roman" w:hAnsi="Times New Roman"/>
        </w:rPr>
        <w:t xml:space="preserve"> As planning progressed, the relocation of the bookstore to the </w:t>
      </w:r>
      <w:r w:rsidR="0030405D">
        <w:rPr>
          <w:rFonts w:ascii="Times New Roman" w:hAnsi="Times New Roman"/>
        </w:rPr>
        <w:t>first floor</w:t>
      </w:r>
      <w:r w:rsidR="0084072E">
        <w:rPr>
          <w:rFonts w:ascii="Times New Roman" w:hAnsi="Times New Roman"/>
        </w:rPr>
        <w:t xml:space="preserve"> of the facility was identified as a desirable objective to meet within the project scope as well.</w:t>
      </w:r>
    </w:p>
    <w:p w:rsidR="0084072E" w:rsidRDefault="0084072E" w:rsidP="00227C71">
      <w:pPr>
        <w:rPr>
          <w:rFonts w:ascii="Times New Roman" w:hAnsi="Times New Roman"/>
          <w:b/>
        </w:rPr>
      </w:pPr>
    </w:p>
    <w:p w:rsidR="00B13068" w:rsidRDefault="004800DF" w:rsidP="00227C71">
      <w:pPr>
        <w:rPr>
          <w:rFonts w:ascii="Times New Roman" w:hAnsi="Times New Roman"/>
        </w:rPr>
      </w:pPr>
      <w:proofErr w:type="gramStart"/>
      <w:r>
        <w:rPr>
          <w:rFonts w:ascii="Times New Roman" w:hAnsi="Times New Roman"/>
          <w:b/>
        </w:rPr>
        <w:t>Project Scope.</w:t>
      </w:r>
      <w:proofErr w:type="gramEnd"/>
      <w:r w:rsidR="00400748">
        <w:rPr>
          <w:rFonts w:ascii="Times New Roman" w:hAnsi="Times New Roman"/>
          <w:b/>
        </w:rPr>
        <w:t xml:space="preserve"> </w:t>
      </w:r>
      <w:r w:rsidR="00D60AA5">
        <w:rPr>
          <w:rFonts w:ascii="Times New Roman" w:hAnsi="Times New Roman"/>
        </w:rPr>
        <w:t>The</w:t>
      </w:r>
      <w:r w:rsidR="003A5D7B">
        <w:rPr>
          <w:rFonts w:ascii="Times New Roman" w:hAnsi="Times New Roman"/>
        </w:rPr>
        <w:t xml:space="preserve"> revised</w:t>
      </w:r>
      <w:r w:rsidR="00D60AA5">
        <w:rPr>
          <w:rFonts w:ascii="Times New Roman" w:hAnsi="Times New Roman"/>
        </w:rPr>
        <w:t xml:space="preserve"> first phase of the Bone Student Center revitalization project </w:t>
      </w:r>
      <w:r w:rsidR="00190F16">
        <w:rPr>
          <w:rFonts w:ascii="Times New Roman" w:hAnsi="Times New Roman"/>
        </w:rPr>
        <w:t>i</w:t>
      </w:r>
      <w:r w:rsidR="00D60AA5">
        <w:rPr>
          <w:rFonts w:ascii="Times New Roman" w:hAnsi="Times New Roman"/>
        </w:rPr>
        <w:t>nclude</w:t>
      </w:r>
      <w:r w:rsidR="00190F16">
        <w:rPr>
          <w:rFonts w:ascii="Times New Roman" w:hAnsi="Times New Roman"/>
        </w:rPr>
        <w:t>s</w:t>
      </w:r>
      <w:r w:rsidR="003A5D7B">
        <w:rPr>
          <w:rFonts w:ascii="Times New Roman" w:hAnsi="Times New Roman"/>
        </w:rPr>
        <w:t xml:space="preserve"> </w:t>
      </w:r>
      <w:r w:rsidR="00E0677E">
        <w:rPr>
          <w:rFonts w:ascii="Times New Roman" w:hAnsi="Times New Roman"/>
        </w:rPr>
        <w:t xml:space="preserve">the six major component </w:t>
      </w:r>
      <w:r w:rsidR="00C77375">
        <w:rPr>
          <w:rFonts w:ascii="Times New Roman" w:hAnsi="Times New Roman"/>
        </w:rPr>
        <w:t xml:space="preserve">approved by the Board of Trustees in May 2014 </w:t>
      </w:r>
      <w:r w:rsidR="00E0677E">
        <w:rPr>
          <w:rFonts w:ascii="Times New Roman" w:hAnsi="Times New Roman"/>
        </w:rPr>
        <w:t>and one new</w:t>
      </w:r>
      <w:r w:rsidR="00E0677E" w:rsidRPr="00E0677E">
        <w:rPr>
          <w:rFonts w:ascii="Times New Roman" w:hAnsi="Times New Roman"/>
        </w:rPr>
        <w:t xml:space="preserve"> </w:t>
      </w:r>
      <w:r w:rsidR="00E0677E">
        <w:rPr>
          <w:rFonts w:ascii="Times New Roman" w:hAnsi="Times New Roman"/>
        </w:rPr>
        <w:t>major component</w:t>
      </w:r>
      <w:r w:rsidR="0087007C">
        <w:rPr>
          <w:rFonts w:ascii="Times New Roman" w:hAnsi="Times New Roman"/>
        </w:rPr>
        <w:t>; brief descriptions of each component are p</w:t>
      </w:r>
      <w:r w:rsidR="00681279">
        <w:rPr>
          <w:rFonts w:ascii="Times New Roman" w:hAnsi="Times New Roman"/>
        </w:rPr>
        <w:t>resented below</w:t>
      </w:r>
      <w:r w:rsidR="00B13068">
        <w:rPr>
          <w:rFonts w:ascii="Times New Roman" w:hAnsi="Times New Roman"/>
        </w:rPr>
        <w:t>:</w:t>
      </w:r>
    </w:p>
    <w:p w:rsidR="00A215E4" w:rsidRPr="00B13068" w:rsidRDefault="00681279" w:rsidP="00227C71">
      <w:pPr>
        <w:rPr>
          <w:rFonts w:ascii="Times New Roman" w:hAnsi="Times New Roman"/>
          <w:b/>
        </w:rPr>
      </w:pPr>
      <w:r>
        <w:rPr>
          <w:rFonts w:ascii="Times New Roman" w:hAnsi="Times New Roman"/>
        </w:rPr>
        <w:t xml:space="preserve">  </w:t>
      </w:r>
      <w:r w:rsidR="00B13068">
        <w:rPr>
          <w:rFonts w:ascii="Times New Roman" w:hAnsi="Times New Roman"/>
        </w:rPr>
        <w:t xml:space="preserve">       </w:t>
      </w:r>
    </w:p>
    <w:p w:rsidR="00A215E4" w:rsidRPr="00725E1F" w:rsidRDefault="00725E1F" w:rsidP="00725E1F">
      <w:pPr>
        <w:pStyle w:val="ListParagraph"/>
        <w:numPr>
          <w:ilvl w:val="0"/>
          <w:numId w:val="5"/>
        </w:numPr>
        <w:rPr>
          <w:rFonts w:ascii="Times New Roman" w:hAnsi="Times New Roman"/>
        </w:rPr>
      </w:pPr>
      <w:r w:rsidRPr="00725E1F">
        <w:rPr>
          <w:rFonts w:ascii="Times New Roman" w:hAnsi="Times New Roman"/>
        </w:rPr>
        <w:t>Relocat</w:t>
      </w:r>
      <w:r w:rsidR="00B13068">
        <w:rPr>
          <w:rFonts w:ascii="Times New Roman" w:hAnsi="Times New Roman"/>
        </w:rPr>
        <w:t>ing</w:t>
      </w:r>
      <w:r w:rsidRPr="00725E1F">
        <w:rPr>
          <w:rFonts w:ascii="Times New Roman" w:hAnsi="Times New Roman"/>
        </w:rPr>
        <w:t xml:space="preserve"> the catering kitchen from the second floor to the first floor.  The existing catering kitchen is located in the old cafeteria kitchen, which does not provide an optimal environment for preparing food for catering functions.  Moving catering to the first floor, adjacent to the renovated                                                                                                                                                                                                                                                                                                     loading dock, will result in more efficient transportation of catering products to other campus locations a</w:t>
      </w:r>
      <w:r w:rsidR="00B13068">
        <w:rPr>
          <w:rFonts w:ascii="Times New Roman" w:hAnsi="Times New Roman"/>
        </w:rPr>
        <w:t xml:space="preserve">nd </w:t>
      </w:r>
      <w:r w:rsidRPr="00725E1F">
        <w:rPr>
          <w:rFonts w:ascii="Times New Roman" w:hAnsi="Times New Roman"/>
        </w:rPr>
        <w:t>meeting rooms on the first floor of Bone Student Center</w:t>
      </w:r>
      <w:r w:rsidR="00B13068">
        <w:rPr>
          <w:rFonts w:ascii="Times New Roman" w:hAnsi="Times New Roman"/>
        </w:rPr>
        <w:t>. Further, this will</w:t>
      </w:r>
      <w:r w:rsidRPr="00725E1F">
        <w:rPr>
          <w:rFonts w:ascii="Times New Roman" w:hAnsi="Times New Roman"/>
        </w:rPr>
        <w:t xml:space="preserve"> save staff time and provide a safer method of food delivery.</w:t>
      </w:r>
    </w:p>
    <w:p w:rsidR="00EA7226" w:rsidRPr="00D60AA5" w:rsidRDefault="00EA7226" w:rsidP="00EA7226">
      <w:pPr>
        <w:pStyle w:val="ListParagraph"/>
        <w:rPr>
          <w:rFonts w:ascii="Times New Roman" w:hAnsi="Times New Roman"/>
        </w:rPr>
      </w:pPr>
    </w:p>
    <w:p w:rsidR="00EA7226" w:rsidRDefault="00725E1F" w:rsidP="00D60AA5">
      <w:pPr>
        <w:pStyle w:val="ListParagraph"/>
        <w:numPr>
          <w:ilvl w:val="0"/>
          <w:numId w:val="5"/>
        </w:numPr>
        <w:rPr>
          <w:rFonts w:ascii="Times New Roman" w:hAnsi="Times New Roman"/>
        </w:rPr>
      </w:pPr>
      <w:r w:rsidRPr="00B13068">
        <w:rPr>
          <w:rFonts w:ascii="Times New Roman" w:hAnsi="Times New Roman"/>
        </w:rPr>
        <w:t>Re</w:t>
      </w:r>
      <w:r w:rsidR="00B13068" w:rsidRPr="00B13068">
        <w:rPr>
          <w:rFonts w:ascii="Times New Roman" w:hAnsi="Times New Roman"/>
        </w:rPr>
        <w:t>configuration</w:t>
      </w:r>
      <w:r w:rsidRPr="00B13068">
        <w:rPr>
          <w:rFonts w:ascii="Times New Roman" w:hAnsi="Times New Roman"/>
        </w:rPr>
        <w:t xml:space="preserve"> of the loading dock. The existing loading dock on the north side of the building offers a poor welcome presentation </w:t>
      </w:r>
      <w:r w:rsidR="00B13068" w:rsidRPr="00B13068">
        <w:rPr>
          <w:rFonts w:ascii="Times New Roman" w:hAnsi="Times New Roman"/>
        </w:rPr>
        <w:t>for</w:t>
      </w:r>
      <w:r w:rsidRPr="00B13068">
        <w:rPr>
          <w:rFonts w:ascii="Times New Roman" w:hAnsi="Times New Roman"/>
        </w:rPr>
        <w:t xml:space="preserve"> the University. Truck access to the dock is very poor. </w:t>
      </w:r>
      <w:r w:rsidR="00394091">
        <w:rPr>
          <w:rFonts w:ascii="Times New Roman" w:hAnsi="Times New Roman"/>
        </w:rPr>
        <w:t>Currently, t</w:t>
      </w:r>
      <w:r w:rsidRPr="00B13068">
        <w:rPr>
          <w:rFonts w:ascii="Times New Roman" w:hAnsi="Times New Roman"/>
        </w:rPr>
        <w:t xml:space="preserve">rucks must back-up a significant distance </w:t>
      </w:r>
      <w:r w:rsidR="00B13068" w:rsidRPr="00B13068">
        <w:rPr>
          <w:rFonts w:ascii="Times New Roman" w:hAnsi="Times New Roman"/>
        </w:rPr>
        <w:t xml:space="preserve">from University </w:t>
      </w:r>
      <w:r w:rsidR="00E9666D">
        <w:rPr>
          <w:rFonts w:ascii="Times New Roman" w:hAnsi="Times New Roman"/>
        </w:rPr>
        <w:t>Street</w:t>
      </w:r>
      <w:r w:rsidR="00394091">
        <w:rPr>
          <w:rFonts w:ascii="Times New Roman" w:hAnsi="Times New Roman"/>
        </w:rPr>
        <w:t xml:space="preserve"> </w:t>
      </w:r>
      <w:r w:rsidRPr="00B13068">
        <w:rPr>
          <w:rFonts w:ascii="Times New Roman" w:hAnsi="Times New Roman"/>
        </w:rPr>
        <w:t xml:space="preserve">and navigate a sharp, 90-degree angle from the driveway to the face of the loading dock.  The dock doors open directly to the north with no </w:t>
      </w:r>
      <w:r w:rsidR="00B13068" w:rsidRPr="00B13068">
        <w:rPr>
          <w:rFonts w:ascii="Times New Roman" w:hAnsi="Times New Roman"/>
        </w:rPr>
        <w:t xml:space="preserve">environmental </w:t>
      </w:r>
      <w:r w:rsidRPr="00B13068">
        <w:rPr>
          <w:rFonts w:ascii="Times New Roman" w:hAnsi="Times New Roman"/>
        </w:rPr>
        <w:t>barrier</w:t>
      </w:r>
      <w:r w:rsidR="00B13068" w:rsidRPr="00B13068">
        <w:rPr>
          <w:rFonts w:ascii="Times New Roman" w:hAnsi="Times New Roman"/>
        </w:rPr>
        <w:t>s</w:t>
      </w:r>
      <w:r w:rsidRPr="00B13068">
        <w:rPr>
          <w:rFonts w:ascii="Times New Roman" w:hAnsi="Times New Roman"/>
        </w:rPr>
        <w:t xml:space="preserve"> for protection, allowing winter cold air and summer hot air to penetrate the building’s lower level.  Th</w:t>
      </w:r>
      <w:r w:rsidR="00B13068" w:rsidRPr="00B13068">
        <w:rPr>
          <w:rFonts w:ascii="Times New Roman" w:hAnsi="Times New Roman"/>
        </w:rPr>
        <w:t xml:space="preserve">e planned </w:t>
      </w:r>
      <w:r w:rsidRPr="00B13068">
        <w:rPr>
          <w:rFonts w:ascii="Times New Roman" w:hAnsi="Times New Roman"/>
        </w:rPr>
        <w:t>revised loading dock improve</w:t>
      </w:r>
      <w:r w:rsidR="00B13068" w:rsidRPr="00B13068">
        <w:rPr>
          <w:rFonts w:ascii="Times New Roman" w:hAnsi="Times New Roman"/>
        </w:rPr>
        <w:t>s functionality,</w:t>
      </w:r>
      <w:r w:rsidRPr="00B13068">
        <w:rPr>
          <w:rFonts w:ascii="Times New Roman" w:hAnsi="Times New Roman"/>
        </w:rPr>
        <w:t xml:space="preserve"> </w:t>
      </w:r>
      <w:r w:rsidR="00B13068" w:rsidRPr="00B13068">
        <w:rPr>
          <w:rFonts w:ascii="Times New Roman" w:hAnsi="Times New Roman"/>
        </w:rPr>
        <w:t>the</w:t>
      </w:r>
      <w:r w:rsidR="00394091">
        <w:rPr>
          <w:rFonts w:ascii="Times New Roman" w:hAnsi="Times New Roman"/>
        </w:rPr>
        <w:t xml:space="preserve"> building environmental control, service efficiency and </w:t>
      </w:r>
      <w:r w:rsidRPr="00B13068">
        <w:rPr>
          <w:rFonts w:ascii="Times New Roman" w:hAnsi="Times New Roman"/>
        </w:rPr>
        <w:t>truck access.  The new configuration of the loading dock</w:t>
      </w:r>
      <w:r w:rsidR="00B13068">
        <w:rPr>
          <w:rFonts w:ascii="Times New Roman" w:hAnsi="Times New Roman"/>
        </w:rPr>
        <w:t xml:space="preserve"> and building north elevation</w:t>
      </w:r>
      <w:r w:rsidRPr="00B13068">
        <w:rPr>
          <w:rFonts w:ascii="Times New Roman" w:hAnsi="Times New Roman"/>
        </w:rPr>
        <w:t xml:space="preserve"> will be more </w:t>
      </w:r>
      <w:r w:rsidR="00394091">
        <w:rPr>
          <w:rFonts w:ascii="Times New Roman" w:hAnsi="Times New Roman"/>
        </w:rPr>
        <w:t xml:space="preserve">aesthetically </w:t>
      </w:r>
      <w:r w:rsidRPr="00B13068">
        <w:rPr>
          <w:rFonts w:ascii="Times New Roman" w:hAnsi="Times New Roman"/>
        </w:rPr>
        <w:t>appealing</w:t>
      </w:r>
      <w:r w:rsidR="00B13068" w:rsidRPr="00B13068">
        <w:rPr>
          <w:rFonts w:ascii="Times New Roman" w:hAnsi="Times New Roman"/>
        </w:rPr>
        <w:t xml:space="preserve"> </w:t>
      </w:r>
      <w:r w:rsidR="00B13068" w:rsidRPr="00725E1F">
        <w:rPr>
          <w:rFonts w:ascii="Times New Roman" w:hAnsi="Times New Roman"/>
        </w:rPr>
        <w:t xml:space="preserve">and </w:t>
      </w:r>
      <w:r w:rsidR="00400748">
        <w:rPr>
          <w:rFonts w:ascii="Times New Roman" w:hAnsi="Times New Roman"/>
        </w:rPr>
        <w:t>provide a</w:t>
      </w:r>
      <w:r w:rsidR="0084072E">
        <w:rPr>
          <w:rFonts w:ascii="Times New Roman" w:hAnsi="Times New Roman"/>
        </w:rPr>
        <w:t>n</w:t>
      </w:r>
      <w:r w:rsidR="00400748">
        <w:rPr>
          <w:rFonts w:ascii="Times New Roman" w:hAnsi="Times New Roman"/>
        </w:rPr>
        <w:t xml:space="preserve"> improved</w:t>
      </w:r>
      <w:r w:rsidR="00B13068" w:rsidRPr="00725E1F">
        <w:rPr>
          <w:rFonts w:ascii="Times New Roman" w:hAnsi="Times New Roman"/>
        </w:rPr>
        <w:t xml:space="preserve"> north side </w:t>
      </w:r>
      <w:r w:rsidR="00B13068">
        <w:rPr>
          <w:rFonts w:ascii="Times New Roman" w:hAnsi="Times New Roman"/>
        </w:rPr>
        <w:t xml:space="preserve">public </w:t>
      </w:r>
      <w:r w:rsidR="00B13068" w:rsidRPr="00725E1F">
        <w:rPr>
          <w:rFonts w:ascii="Times New Roman" w:hAnsi="Times New Roman"/>
        </w:rPr>
        <w:t>presentation of the facility</w:t>
      </w:r>
      <w:r w:rsidR="00400748">
        <w:rPr>
          <w:rFonts w:ascii="Times New Roman" w:hAnsi="Times New Roman"/>
        </w:rPr>
        <w:t>.</w:t>
      </w:r>
    </w:p>
    <w:p w:rsidR="00400748" w:rsidRPr="00400748" w:rsidRDefault="00400748" w:rsidP="00400748">
      <w:pPr>
        <w:rPr>
          <w:rFonts w:ascii="Times New Roman" w:hAnsi="Times New Roman"/>
        </w:rPr>
      </w:pPr>
    </w:p>
    <w:p w:rsidR="00A215E4" w:rsidRDefault="00400748" w:rsidP="00725E1F">
      <w:pPr>
        <w:pStyle w:val="ListParagraph"/>
        <w:numPr>
          <w:ilvl w:val="0"/>
          <w:numId w:val="5"/>
        </w:numPr>
        <w:rPr>
          <w:rFonts w:ascii="Times New Roman" w:hAnsi="Times New Roman"/>
        </w:rPr>
      </w:pPr>
      <w:r>
        <w:rPr>
          <w:rFonts w:ascii="Times New Roman" w:hAnsi="Times New Roman"/>
        </w:rPr>
        <w:t>Renovating</w:t>
      </w:r>
      <w:r w:rsidR="00725E1F" w:rsidRPr="00D60AA5">
        <w:rPr>
          <w:rFonts w:ascii="Times New Roman" w:hAnsi="Times New Roman"/>
        </w:rPr>
        <w:t xml:space="preserve"> the </w:t>
      </w:r>
      <w:r w:rsidR="00725E1F">
        <w:rPr>
          <w:rFonts w:ascii="Times New Roman" w:hAnsi="Times New Roman"/>
        </w:rPr>
        <w:t xml:space="preserve">area vacated </w:t>
      </w:r>
      <w:r>
        <w:rPr>
          <w:rFonts w:ascii="Times New Roman" w:hAnsi="Times New Roman"/>
        </w:rPr>
        <w:t xml:space="preserve">by </w:t>
      </w:r>
      <w:r w:rsidR="00725E1F">
        <w:rPr>
          <w:rFonts w:ascii="Times New Roman" w:hAnsi="Times New Roman"/>
        </w:rPr>
        <w:t xml:space="preserve">the </w:t>
      </w:r>
      <w:r w:rsidR="00725E1F" w:rsidRPr="00D60AA5">
        <w:rPr>
          <w:rFonts w:ascii="Times New Roman" w:hAnsi="Times New Roman"/>
        </w:rPr>
        <w:t>catering kitchen</w:t>
      </w:r>
      <w:r>
        <w:rPr>
          <w:rFonts w:ascii="Times New Roman" w:hAnsi="Times New Roman"/>
        </w:rPr>
        <w:t>’s relocation</w:t>
      </w:r>
      <w:r w:rsidR="00725E1F" w:rsidRPr="00D60AA5">
        <w:rPr>
          <w:rFonts w:ascii="Times New Roman" w:hAnsi="Times New Roman"/>
        </w:rPr>
        <w:t xml:space="preserve"> to </w:t>
      </w:r>
      <w:r w:rsidR="00725E1F">
        <w:rPr>
          <w:rFonts w:ascii="Times New Roman" w:hAnsi="Times New Roman"/>
        </w:rPr>
        <w:t>the first floor.  Th</w:t>
      </w:r>
      <w:r>
        <w:rPr>
          <w:rFonts w:ascii="Times New Roman" w:hAnsi="Times New Roman"/>
        </w:rPr>
        <w:t>is</w:t>
      </w:r>
      <w:r w:rsidR="00725E1F">
        <w:rPr>
          <w:rFonts w:ascii="Times New Roman" w:hAnsi="Times New Roman"/>
        </w:rPr>
        <w:t xml:space="preserve"> area will be renovated to </w:t>
      </w:r>
      <w:r w:rsidR="00725E1F" w:rsidRPr="00D60AA5">
        <w:rPr>
          <w:rFonts w:ascii="Times New Roman" w:hAnsi="Times New Roman"/>
        </w:rPr>
        <w:t xml:space="preserve">accommodate expanded food </w:t>
      </w:r>
      <w:r>
        <w:rPr>
          <w:rFonts w:ascii="Times New Roman" w:hAnsi="Times New Roman"/>
        </w:rPr>
        <w:t>venues</w:t>
      </w:r>
      <w:r w:rsidR="00725E1F">
        <w:rPr>
          <w:rFonts w:ascii="Times New Roman" w:hAnsi="Times New Roman"/>
        </w:rPr>
        <w:t xml:space="preserve"> and </w:t>
      </w:r>
      <w:r>
        <w:rPr>
          <w:rFonts w:ascii="Times New Roman" w:hAnsi="Times New Roman"/>
        </w:rPr>
        <w:t xml:space="preserve">the </w:t>
      </w:r>
      <w:r w:rsidR="00725E1F">
        <w:rPr>
          <w:rFonts w:ascii="Times New Roman" w:hAnsi="Times New Roman"/>
        </w:rPr>
        <w:t>Student Involvement Center</w:t>
      </w:r>
      <w:r w:rsidR="00725E1F" w:rsidRPr="00D60AA5">
        <w:rPr>
          <w:rFonts w:ascii="Times New Roman" w:hAnsi="Times New Roman"/>
        </w:rPr>
        <w:t xml:space="preserve">.  </w:t>
      </w:r>
      <w:r>
        <w:rPr>
          <w:rFonts w:ascii="Times New Roman" w:hAnsi="Times New Roman"/>
        </w:rPr>
        <w:t>This will</w:t>
      </w:r>
      <w:r w:rsidR="00725E1F" w:rsidRPr="00D60AA5">
        <w:rPr>
          <w:rFonts w:ascii="Times New Roman" w:hAnsi="Times New Roman"/>
        </w:rPr>
        <w:t xml:space="preserve"> </w:t>
      </w:r>
      <w:r>
        <w:rPr>
          <w:rFonts w:ascii="Times New Roman" w:hAnsi="Times New Roman"/>
        </w:rPr>
        <w:t>open up</w:t>
      </w:r>
      <w:r w:rsidR="00A71114">
        <w:rPr>
          <w:rFonts w:ascii="Times New Roman" w:hAnsi="Times New Roman"/>
        </w:rPr>
        <w:t>,</w:t>
      </w:r>
      <w:r>
        <w:rPr>
          <w:rFonts w:ascii="Times New Roman" w:hAnsi="Times New Roman"/>
        </w:rPr>
        <w:t xml:space="preserve"> enliven </w:t>
      </w:r>
      <w:r w:rsidR="00C45545">
        <w:rPr>
          <w:rFonts w:ascii="Times New Roman" w:hAnsi="Times New Roman"/>
        </w:rPr>
        <w:t xml:space="preserve">and brighten </w:t>
      </w:r>
      <w:r w:rsidR="00725E1F" w:rsidRPr="00D60AA5">
        <w:rPr>
          <w:rFonts w:ascii="Times New Roman" w:hAnsi="Times New Roman"/>
        </w:rPr>
        <w:t>the existing food court area</w:t>
      </w:r>
      <w:r>
        <w:rPr>
          <w:rFonts w:ascii="Times New Roman" w:hAnsi="Times New Roman"/>
        </w:rPr>
        <w:t xml:space="preserve">. </w:t>
      </w:r>
      <w:r w:rsidR="00725E1F">
        <w:rPr>
          <w:rFonts w:ascii="Times New Roman" w:hAnsi="Times New Roman"/>
        </w:rPr>
        <w:t xml:space="preserve">This </w:t>
      </w:r>
      <w:r>
        <w:rPr>
          <w:rFonts w:ascii="Times New Roman" w:hAnsi="Times New Roman"/>
        </w:rPr>
        <w:t xml:space="preserve">reconfiguration </w:t>
      </w:r>
      <w:r w:rsidR="00725E1F">
        <w:rPr>
          <w:rFonts w:ascii="Times New Roman" w:hAnsi="Times New Roman"/>
        </w:rPr>
        <w:t xml:space="preserve">will </w:t>
      </w:r>
      <w:r w:rsidR="00725E1F" w:rsidRPr="00D60AA5">
        <w:rPr>
          <w:rFonts w:ascii="Times New Roman" w:hAnsi="Times New Roman"/>
        </w:rPr>
        <w:t xml:space="preserve">allow additional venues and </w:t>
      </w:r>
      <w:r>
        <w:rPr>
          <w:rFonts w:ascii="Times New Roman" w:hAnsi="Times New Roman"/>
        </w:rPr>
        <w:t>open up the</w:t>
      </w:r>
      <w:r w:rsidR="00725E1F" w:rsidRPr="00D60AA5">
        <w:rPr>
          <w:rFonts w:ascii="Times New Roman" w:hAnsi="Times New Roman"/>
        </w:rPr>
        <w:t xml:space="preserve"> main concourse </w:t>
      </w:r>
      <w:r>
        <w:rPr>
          <w:rFonts w:ascii="Times New Roman" w:hAnsi="Times New Roman"/>
        </w:rPr>
        <w:t>to considerably more of the north side of the building. An additional objective is to introduce</w:t>
      </w:r>
      <w:r w:rsidR="00725E1F" w:rsidRPr="00D60AA5">
        <w:rPr>
          <w:rFonts w:ascii="Times New Roman" w:hAnsi="Times New Roman"/>
        </w:rPr>
        <w:t xml:space="preserve"> more natural light into the facility</w:t>
      </w:r>
      <w:r w:rsidR="00995DF7" w:rsidRPr="00D60AA5">
        <w:rPr>
          <w:rFonts w:ascii="Times New Roman" w:hAnsi="Times New Roman"/>
        </w:rPr>
        <w:t>.</w:t>
      </w:r>
    </w:p>
    <w:p w:rsidR="002D18FF" w:rsidRPr="002D18FF" w:rsidRDefault="002D18FF" w:rsidP="002D18FF">
      <w:pPr>
        <w:pStyle w:val="ListParagraph"/>
        <w:rPr>
          <w:rFonts w:ascii="Times New Roman" w:hAnsi="Times New Roman"/>
        </w:rPr>
      </w:pPr>
    </w:p>
    <w:p w:rsidR="002D18FF" w:rsidRPr="00D60AA5" w:rsidRDefault="002D18FF" w:rsidP="002D18FF">
      <w:pPr>
        <w:pStyle w:val="ListParagraph"/>
        <w:rPr>
          <w:rFonts w:ascii="Times New Roman" w:hAnsi="Times New Roman"/>
        </w:rPr>
      </w:pPr>
    </w:p>
    <w:p w:rsidR="00D60AA5" w:rsidRDefault="00D60AA5" w:rsidP="00D60AA5">
      <w:pPr>
        <w:pStyle w:val="ListParagraph"/>
        <w:rPr>
          <w:rFonts w:ascii="Times New Roman" w:hAnsi="Times New Roman"/>
        </w:rPr>
      </w:pPr>
    </w:p>
    <w:p w:rsidR="00995DF7" w:rsidRDefault="00400748" w:rsidP="00725E1F">
      <w:pPr>
        <w:pStyle w:val="ListParagraph"/>
        <w:numPr>
          <w:ilvl w:val="0"/>
          <w:numId w:val="5"/>
        </w:numPr>
        <w:rPr>
          <w:rFonts w:ascii="Times New Roman" w:hAnsi="Times New Roman"/>
        </w:rPr>
      </w:pPr>
      <w:r>
        <w:rPr>
          <w:rFonts w:ascii="Times New Roman" w:hAnsi="Times New Roman"/>
        </w:rPr>
        <w:lastRenderedPageBreak/>
        <w:t>Construct new entrances</w:t>
      </w:r>
      <w:r w:rsidR="00725E1F" w:rsidRPr="00531950">
        <w:rPr>
          <w:rFonts w:ascii="Times New Roman" w:hAnsi="Times New Roman"/>
        </w:rPr>
        <w:t xml:space="preserve"> on the west and </w:t>
      </w:r>
      <w:r>
        <w:rPr>
          <w:rFonts w:ascii="Times New Roman" w:hAnsi="Times New Roman"/>
        </w:rPr>
        <w:t>northeast</w:t>
      </w:r>
      <w:r w:rsidR="002F2AFB">
        <w:rPr>
          <w:rFonts w:ascii="Times New Roman" w:hAnsi="Times New Roman"/>
        </w:rPr>
        <w:t xml:space="preserve">. </w:t>
      </w:r>
      <w:r w:rsidR="002F2AFB" w:rsidRPr="00531950">
        <w:rPr>
          <w:rFonts w:ascii="Times New Roman" w:hAnsi="Times New Roman"/>
        </w:rPr>
        <w:t xml:space="preserve">The </w:t>
      </w:r>
      <w:r w:rsidR="002F2AFB">
        <w:rPr>
          <w:rFonts w:ascii="Times New Roman" w:hAnsi="Times New Roman"/>
        </w:rPr>
        <w:t xml:space="preserve">new </w:t>
      </w:r>
      <w:r w:rsidR="002F2AFB" w:rsidRPr="00531950">
        <w:rPr>
          <w:rFonts w:ascii="Times New Roman" w:hAnsi="Times New Roman"/>
        </w:rPr>
        <w:t xml:space="preserve">west entrance will provide </w:t>
      </w:r>
      <w:r w:rsidR="002F2AFB">
        <w:rPr>
          <w:rFonts w:ascii="Times New Roman" w:hAnsi="Times New Roman"/>
        </w:rPr>
        <w:t>an additional entrance</w:t>
      </w:r>
      <w:r w:rsidR="002F2AFB" w:rsidRPr="00531950">
        <w:rPr>
          <w:rFonts w:ascii="Times New Roman" w:hAnsi="Times New Roman"/>
        </w:rPr>
        <w:t xml:space="preserve"> </w:t>
      </w:r>
      <w:r w:rsidR="002F2AFB">
        <w:rPr>
          <w:rFonts w:ascii="Times New Roman" w:hAnsi="Times New Roman"/>
        </w:rPr>
        <w:t>and pre-function space for</w:t>
      </w:r>
      <w:r w:rsidR="002F2AFB" w:rsidRPr="00531950">
        <w:rPr>
          <w:rFonts w:ascii="Times New Roman" w:hAnsi="Times New Roman"/>
        </w:rPr>
        <w:t xml:space="preserve"> the Brown Ballroom</w:t>
      </w:r>
      <w:r w:rsidR="002F2AFB">
        <w:rPr>
          <w:rFonts w:ascii="Times New Roman" w:hAnsi="Times New Roman"/>
        </w:rPr>
        <w:t xml:space="preserve">. </w:t>
      </w:r>
      <w:r w:rsidR="002F2AFB" w:rsidRPr="00531950">
        <w:rPr>
          <w:rFonts w:ascii="Times New Roman" w:hAnsi="Times New Roman"/>
        </w:rPr>
        <w:t xml:space="preserve">The Brown Ballroom will </w:t>
      </w:r>
      <w:r w:rsidR="002F2AFB">
        <w:rPr>
          <w:rFonts w:ascii="Times New Roman" w:hAnsi="Times New Roman"/>
        </w:rPr>
        <w:t xml:space="preserve">be </w:t>
      </w:r>
      <w:r w:rsidR="006A41A3">
        <w:rPr>
          <w:rFonts w:ascii="Times New Roman" w:hAnsi="Times New Roman"/>
        </w:rPr>
        <w:t xml:space="preserve">revised </w:t>
      </w:r>
      <w:r w:rsidR="0030405D">
        <w:rPr>
          <w:rFonts w:ascii="Times New Roman" w:hAnsi="Times New Roman"/>
        </w:rPr>
        <w:t xml:space="preserve">allowing it </w:t>
      </w:r>
      <w:r w:rsidR="006A41A3">
        <w:rPr>
          <w:rFonts w:ascii="Times New Roman" w:hAnsi="Times New Roman"/>
        </w:rPr>
        <w:t xml:space="preserve">to be </w:t>
      </w:r>
      <w:r w:rsidR="002F2AFB">
        <w:rPr>
          <w:rFonts w:ascii="Times New Roman" w:hAnsi="Times New Roman"/>
        </w:rPr>
        <w:t>subdivided</w:t>
      </w:r>
      <w:r w:rsidR="002F2AFB" w:rsidRPr="00531950">
        <w:rPr>
          <w:rFonts w:ascii="Times New Roman" w:hAnsi="Times New Roman"/>
        </w:rPr>
        <w:t xml:space="preserve"> </w:t>
      </w:r>
      <w:r w:rsidR="0030405D">
        <w:rPr>
          <w:rFonts w:ascii="Times New Roman" w:hAnsi="Times New Roman"/>
        </w:rPr>
        <w:t xml:space="preserve">for </w:t>
      </w:r>
      <w:r w:rsidR="002F2AFB" w:rsidRPr="00531950">
        <w:rPr>
          <w:rFonts w:ascii="Times New Roman" w:hAnsi="Times New Roman"/>
        </w:rPr>
        <w:t xml:space="preserve">greater </w:t>
      </w:r>
      <w:r w:rsidR="002F2AFB">
        <w:rPr>
          <w:rFonts w:ascii="Times New Roman" w:hAnsi="Times New Roman"/>
        </w:rPr>
        <w:t>flexibility and use</w:t>
      </w:r>
      <w:r w:rsidR="002F2AFB" w:rsidRPr="00531950">
        <w:rPr>
          <w:rFonts w:ascii="Times New Roman" w:hAnsi="Times New Roman"/>
        </w:rPr>
        <w:t xml:space="preserve"> of the space.  </w:t>
      </w:r>
      <w:r w:rsidR="002F2AFB">
        <w:rPr>
          <w:rFonts w:ascii="Times New Roman" w:hAnsi="Times New Roman"/>
        </w:rPr>
        <w:t xml:space="preserve">The new pre-function space to the south and east will </w:t>
      </w:r>
      <w:r w:rsidR="002F2AFB" w:rsidRPr="00531950">
        <w:rPr>
          <w:rFonts w:ascii="Times New Roman" w:hAnsi="Times New Roman"/>
        </w:rPr>
        <w:t xml:space="preserve">provide </w:t>
      </w:r>
      <w:r w:rsidR="002F2AFB">
        <w:rPr>
          <w:rFonts w:ascii="Times New Roman" w:hAnsi="Times New Roman"/>
        </w:rPr>
        <w:t>more</w:t>
      </w:r>
      <w:r w:rsidR="002F2AFB" w:rsidRPr="00531950">
        <w:rPr>
          <w:rFonts w:ascii="Times New Roman" w:hAnsi="Times New Roman"/>
        </w:rPr>
        <w:t xml:space="preserve"> area to accommodate g</w:t>
      </w:r>
      <w:r w:rsidR="006A41A3">
        <w:rPr>
          <w:rFonts w:ascii="Times New Roman" w:hAnsi="Times New Roman"/>
        </w:rPr>
        <w:t xml:space="preserve">uest movement in and </w:t>
      </w:r>
      <w:r w:rsidR="002F2AFB" w:rsidRPr="00531950">
        <w:rPr>
          <w:rFonts w:ascii="Times New Roman" w:hAnsi="Times New Roman"/>
        </w:rPr>
        <w:t>out of the ballroom during events</w:t>
      </w:r>
      <w:r w:rsidR="002F2AFB">
        <w:rPr>
          <w:rFonts w:ascii="Times New Roman" w:hAnsi="Times New Roman"/>
        </w:rPr>
        <w:t xml:space="preserve">. </w:t>
      </w:r>
      <w:r>
        <w:rPr>
          <w:rFonts w:ascii="Times New Roman" w:hAnsi="Times New Roman"/>
        </w:rPr>
        <w:t>Th</w:t>
      </w:r>
      <w:r w:rsidR="002F2AFB">
        <w:rPr>
          <w:rFonts w:ascii="Times New Roman" w:hAnsi="Times New Roman"/>
        </w:rPr>
        <w:t>e new northeast entrance</w:t>
      </w:r>
      <w:r>
        <w:rPr>
          <w:rFonts w:ascii="Times New Roman" w:hAnsi="Times New Roman"/>
        </w:rPr>
        <w:t xml:space="preserve"> will </w:t>
      </w:r>
      <w:r w:rsidR="002F2AFB">
        <w:rPr>
          <w:rFonts w:ascii="Times New Roman" w:hAnsi="Times New Roman"/>
        </w:rPr>
        <w:t xml:space="preserve">be easily identified and </w:t>
      </w:r>
      <w:r>
        <w:rPr>
          <w:rFonts w:ascii="Times New Roman" w:hAnsi="Times New Roman"/>
        </w:rPr>
        <w:t>provide</w:t>
      </w:r>
      <w:r w:rsidR="00725E1F" w:rsidRPr="00531950">
        <w:rPr>
          <w:rFonts w:ascii="Times New Roman" w:hAnsi="Times New Roman"/>
        </w:rPr>
        <w:t xml:space="preserve"> a </w:t>
      </w:r>
      <w:r>
        <w:rPr>
          <w:rFonts w:ascii="Times New Roman" w:hAnsi="Times New Roman"/>
        </w:rPr>
        <w:t xml:space="preserve">clearly defined </w:t>
      </w:r>
      <w:r w:rsidR="006A41A3">
        <w:rPr>
          <w:rFonts w:ascii="Times New Roman" w:hAnsi="Times New Roman"/>
        </w:rPr>
        <w:t xml:space="preserve">and desirable </w:t>
      </w:r>
      <w:r w:rsidR="00725E1F" w:rsidRPr="00531950">
        <w:rPr>
          <w:rFonts w:ascii="Times New Roman" w:hAnsi="Times New Roman"/>
        </w:rPr>
        <w:t xml:space="preserve">path from the </w:t>
      </w:r>
      <w:r>
        <w:rPr>
          <w:rFonts w:ascii="Times New Roman" w:hAnsi="Times New Roman"/>
        </w:rPr>
        <w:t xml:space="preserve">north </w:t>
      </w:r>
      <w:r w:rsidR="002F2AFB">
        <w:rPr>
          <w:rFonts w:ascii="Times New Roman" w:hAnsi="Times New Roman"/>
        </w:rPr>
        <w:t xml:space="preserve">visitor parking lot to the building. </w:t>
      </w:r>
      <w:r w:rsidR="000B5925">
        <w:rPr>
          <w:rFonts w:ascii="Times New Roman" w:hAnsi="Times New Roman"/>
        </w:rPr>
        <w:t>New</w:t>
      </w:r>
      <w:r w:rsidR="006A41A3">
        <w:rPr>
          <w:rFonts w:ascii="Times New Roman" w:hAnsi="Times New Roman"/>
        </w:rPr>
        <w:t xml:space="preserve"> </w:t>
      </w:r>
      <w:r w:rsidR="002F2AFB">
        <w:rPr>
          <w:rFonts w:ascii="Times New Roman" w:hAnsi="Times New Roman"/>
        </w:rPr>
        <w:t xml:space="preserve">exterior stairs </w:t>
      </w:r>
      <w:r w:rsidR="000B5925">
        <w:rPr>
          <w:rFonts w:ascii="Times New Roman" w:hAnsi="Times New Roman"/>
        </w:rPr>
        <w:t xml:space="preserve">will </w:t>
      </w:r>
      <w:r w:rsidR="002F2AFB">
        <w:rPr>
          <w:rFonts w:ascii="Times New Roman" w:hAnsi="Times New Roman"/>
        </w:rPr>
        <w:t>provide</w:t>
      </w:r>
      <w:r w:rsidR="002F2AFB" w:rsidRPr="00531950">
        <w:rPr>
          <w:rFonts w:ascii="Times New Roman" w:hAnsi="Times New Roman"/>
        </w:rPr>
        <w:t xml:space="preserve"> a more </w:t>
      </w:r>
      <w:r w:rsidR="002F2AFB">
        <w:rPr>
          <w:rFonts w:ascii="Times New Roman" w:hAnsi="Times New Roman"/>
        </w:rPr>
        <w:t>inviting</w:t>
      </w:r>
      <w:r w:rsidR="000B5925">
        <w:rPr>
          <w:rFonts w:ascii="Times New Roman" w:hAnsi="Times New Roman"/>
        </w:rPr>
        <w:t>,</w:t>
      </w:r>
      <w:r w:rsidR="002F2AFB">
        <w:rPr>
          <w:rFonts w:ascii="Times New Roman" w:hAnsi="Times New Roman"/>
        </w:rPr>
        <w:t xml:space="preserve"> clearly defined </w:t>
      </w:r>
      <w:r w:rsidR="002F2AFB" w:rsidRPr="00531950">
        <w:rPr>
          <w:rFonts w:ascii="Times New Roman" w:hAnsi="Times New Roman"/>
        </w:rPr>
        <w:t xml:space="preserve">path </w:t>
      </w:r>
      <w:r w:rsidR="00C77375">
        <w:rPr>
          <w:rFonts w:ascii="Times New Roman" w:hAnsi="Times New Roman"/>
        </w:rPr>
        <w:t>to the University quad</w:t>
      </w:r>
      <w:r w:rsidR="00725E1F" w:rsidRPr="00531950">
        <w:rPr>
          <w:rFonts w:ascii="Times New Roman" w:hAnsi="Times New Roman"/>
        </w:rPr>
        <w:t xml:space="preserve">.  </w:t>
      </w:r>
    </w:p>
    <w:p w:rsidR="00725E1F" w:rsidRPr="00725E1F" w:rsidRDefault="00725E1F" w:rsidP="00725E1F">
      <w:pPr>
        <w:pStyle w:val="ListParagraph"/>
        <w:rPr>
          <w:rFonts w:ascii="Times New Roman" w:hAnsi="Times New Roman"/>
        </w:rPr>
      </w:pPr>
    </w:p>
    <w:p w:rsidR="00725E1F" w:rsidRDefault="00C77375" w:rsidP="00725E1F">
      <w:pPr>
        <w:pStyle w:val="ListParagraph"/>
        <w:numPr>
          <w:ilvl w:val="0"/>
          <w:numId w:val="5"/>
        </w:numPr>
        <w:rPr>
          <w:rFonts w:ascii="Times New Roman" w:hAnsi="Times New Roman"/>
        </w:rPr>
      </w:pPr>
      <w:r>
        <w:rPr>
          <w:rFonts w:ascii="Times New Roman" w:hAnsi="Times New Roman"/>
        </w:rPr>
        <w:t>S</w:t>
      </w:r>
      <w:r w:rsidR="00673C75">
        <w:rPr>
          <w:rFonts w:ascii="Times New Roman" w:hAnsi="Times New Roman"/>
        </w:rPr>
        <w:t>pace to accommodate Campus</w:t>
      </w:r>
      <w:r w:rsidR="006723A5">
        <w:rPr>
          <w:rFonts w:ascii="Times New Roman" w:hAnsi="Times New Roman"/>
        </w:rPr>
        <w:t xml:space="preserve"> Dining Services administrative offices</w:t>
      </w:r>
      <w:r w:rsidR="00673C75">
        <w:rPr>
          <w:rFonts w:ascii="Times New Roman" w:hAnsi="Times New Roman"/>
        </w:rPr>
        <w:t xml:space="preserve"> </w:t>
      </w:r>
      <w:r w:rsidR="006A41A3">
        <w:rPr>
          <w:rFonts w:ascii="Times New Roman" w:hAnsi="Times New Roman"/>
        </w:rPr>
        <w:t>that will</w:t>
      </w:r>
      <w:r w:rsidR="002F2AFB">
        <w:rPr>
          <w:rFonts w:ascii="Times New Roman" w:hAnsi="Times New Roman"/>
        </w:rPr>
        <w:t xml:space="preserve"> </w:t>
      </w:r>
      <w:r w:rsidR="00673C75">
        <w:rPr>
          <w:rFonts w:ascii="Times New Roman" w:hAnsi="Times New Roman"/>
        </w:rPr>
        <w:t>be relocated from the John Green Building</w:t>
      </w:r>
      <w:r w:rsidR="006723A5">
        <w:rPr>
          <w:rFonts w:ascii="Times New Roman" w:hAnsi="Times New Roman"/>
        </w:rPr>
        <w:t>.</w:t>
      </w:r>
    </w:p>
    <w:p w:rsidR="00BC1D74" w:rsidRPr="00BC1D74" w:rsidRDefault="00BC1D74" w:rsidP="00BC1D74">
      <w:pPr>
        <w:pStyle w:val="ListParagraph"/>
        <w:rPr>
          <w:rFonts w:ascii="Times New Roman" w:hAnsi="Times New Roman"/>
        </w:rPr>
      </w:pPr>
    </w:p>
    <w:p w:rsidR="00BC1D74" w:rsidRDefault="00C77375" w:rsidP="00725E1F">
      <w:pPr>
        <w:pStyle w:val="ListParagraph"/>
        <w:numPr>
          <w:ilvl w:val="0"/>
          <w:numId w:val="5"/>
        </w:numPr>
        <w:rPr>
          <w:rFonts w:ascii="Times New Roman" w:hAnsi="Times New Roman"/>
        </w:rPr>
      </w:pPr>
      <w:r>
        <w:rPr>
          <w:rFonts w:ascii="Times New Roman" w:hAnsi="Times New Roman"/>
        </w:rPr>
        <w:t xml:space="preserve">An </w:t>
      </w:r>
      <w:r w:rsidR="00BC1D74">
        <w:rPr>
          <w:rFonts w:ascii="Times New Roman" w:hAnsi="Times New Roman"/>
        </w:rPr>
        <w:t xml:space="preserve">addition to </w:t>
      </w:r>
      <w:r w:rsidR="006A41A3">
        <w:rPr>
          <w:rFonts w:ascii="Times New Roman" w:hAnsi="Times New Roman"/>
        </w:rPr>
        <w:t xml:space="preserve">the </w:t>
      </w:r>
      <w:r w:rsidR="00BC1D74">
        <w:rPr>
          <w:rFonts w:ascii="Times New Roman" w:hAnsi="Times New Roman"/>
        </w:rPr>
        <w:t>Bone S</w:t>
      </w:r>
      <w:r w:rsidR="00CF0F0B">
        <w:rPr>
          <w:rFonts w:ascii="Times New Roman" w:hAnsi="Times New Roman"/>
        </w:rPr>
        <w:t xml:space="preserve">tudent Center </w:t>
      </w:r>
      <w:r>
        <w:rPr>
          <w:rFonts w:ascii="Times New Roman" w:hAnsi="Times New Roman"/>
        </w:rPr>
        <w:t>to create an area for welcoming campus guests, including prospective students and their families, to the University.</w:t>
      </w:r>
    </w:p>
    <w:p w:rsidR="00B13068" w:rsidRPr="00B13068" w:rsidRDefault="00B13068" w:rsidP="00B13068">
      <w:pPr>
        <w:pStyle w:val="ListParagraph"/>
        <w:rPr>
          <w:rFonts w:ascii="Times New Roman" w:hAnsi="Times New Roman"/>
        </w:rPr>
      </w:pPr>
    </w:p>
    <w:p w:rsidR="00B13068" w:rsidRPr="00B13068" w:rsidRDefault="00B13068" w:rsidP="00B13068">
      <w:pPr>
        <w:rPr>
          <w:rFonts w:ascii="Times New Roman" w:hAnsi="Times New Roman"/>
          <w:b/>
        </w:rPr>
      </w:pPr>
      <w:r>
        <w:rPr>
          <w:rFonts w:ascii="Times New Roman" w:hAnsi="Times New Roman"/>
          <w:b/>
        </w:rPr>
        <w:t xml:space="preserve">              </w:t>
      </w:r>
      <w:r w:rsidR="006A41A3">
        <w:rPr>
          <w:rFonts w:ascii="Times New Roman" w:hAnsi="Times New Roman"/>
          <w:b/>
        </w:rPr>
        <w:t>Additional</w:t>
      </w:r>
      <w:r w:rsidRPr="00B13068">
        <w:rPr>
          <w:rFonts w:ascii="Times New Roman" w:hAnsi="Times New Roman"/>
          <w:b/>
        </w:rPr>
        <w:t xml:space="preserve"> Scope:</w:t>
      </w:r>
    </w:p>
    <w:p w:rsidR="006A41A3" w:rsidRPr="006A41A3" w:rsidRDefault="00434BAF" w:rsidP="006A41A3">
      <w:pPr>
        <w:pStyle w:val="ListParagraph"/>
        <w:numPr>
          <w:ilvl w:val="0"/>
          <w:numId w:val="6"/>
        </w:numPr>
        <w:rPr>
          <w:rFonts w:ascii="Times New Roman" w:hAnsi="Times New Roman"/>
        </w:rPr>
      </w:pPr>
      <w:r w:rsidRPr="006A41A3">
        <w:rPr>
          <w:rFonts w:ascii="Times New Roman" w:hAnsi="Times New Roman"/>
        </w:rPr>
        <w:t xml:space="preserve">Barnes and Noble Bookstore </w:t>
      </w:r>
      <w:r>
        <w:rPr>
          <w:rFonts w:ascii="Times New Roman" w:hAnsi="Times New Roman"/>
        </w:rPr>
        <w:t xml:space="preserve">relocation. </w:t>
      </w:r>
      <w:r w:rsidR="006A41A3">
        <w:rPr>
          <w:rFonts w:ascii="Times New Roman" w:hAnsi="Times New Roman"/>
        </w:rPr>
        <w:t>During the project programming</w:t>
      </w:r>
      <w:r w:rsidR="00A0281E">
        <w:rPr>
          <w:rFonts w:ascii="Times New Roman" w:hAnsi="Times New Roman"/>
        </w:rPr>
        <w:t xml:space="preserve"> and schematic design</w:t>
      </w:r>
      <w:r w:rsidR="006A41A3">
        <w:rPr>
          <w:rFonts w:ascii="Times New Roman" w:hAnsi="Times New Roman"/>
        </w:rPr>
        <w:t xml:space="preserve"> phase, </w:t>
      </w:r>
      <w:r w:rsidR="00A0281E">
        <w:rPr>
          <w:rFonts w:ascii="Times New Roman" w:hAnsi="Times New Roman"/>
        </w:rPr>
        <w:t>the</w:t>
      </w:r>
      <w:r w:rsidR="006A41A3">
        <w:rPr>
          <w:rFonts w:ascii="Times New Roman" w:hAnsi="Times New Roman"/>
        </w:rPr>
        <w:t xml:space="preserve"> architectural consultants investigated and presented an option to relocate the existing Barnes and Noble bookstore</w:t>
      </w:r>
      <w:r w:rsidR="00A0281E">
        <w:rPr>
          <w:rFonts w:ascii="Times New Roman" w:hAnsi="Times New Roman"/>
        </w:rPr>
        <w:t>. This option proposed moving the bookstore</w:t>
      </w:r>
      <w:r w:rsidR="006A41A3">
        <w:rPr>
          <w:rFonts w:ascii="Times New Roman" w:hAnsi="Times New Roman"/>
        </w:rPr>
        <w:t xml:space="preserve"> from </w:t>
      </w:r>
      <w:r w:rsidR="00A0281E">
        <w:rPr>
          <w:rFonts w:ascii="Times New Roman" w:hAnsi="Times New Roman"/>
        </w:rPr>
        <w:t xml:space="preserve">its current second floor location to a first floor space adjacent </w:t>
      </w:r>
      <w:r w:rsidR="00C77375">
        <w:rPr>
          <w:rFonts w:ascii="Times New Roman" w:hAnsi="Times New Roman"/>
        </w:rPr>
        <w:t xml:space="preserve">to </w:t>
      </w:r>
      <w:r w:rsidR="00A0281E">
        <w:rPr>
          <w:rFonts w:ascii="Times New Roman" w:hAnsi="Times New Roman"/>
        </w:rPr>
        <w:t xml:space="preserve">the new northeast entry. </w:t>
      </w:r>
      <w:r w:rsidR="00C77375">
        <w:rPr>
          <w:rFonts w:ascii="Times New Roman" w:hAnsi="Times New Roman"/>
        </w:rPr>
        <w:t xml:space="preserve"> Having the bookstore in this area </w:t>
      </w:r>
      <w:r w:rsidR="00A0281E">
        <w:rPr>
          <w:rFonts w:ascii="Times New Roman" w:hAnsi="Times New Roman"/>
        </w:rPr>
        <w:t>enliven</w:t>
      </w:r>
      <w:r w:rsidR="00C77375">
        <w:rPr>
          <w:rFonts w:ascii="Times New Roman" w:hAnsi="Times New Roman"/>
        </w:rPr>
        <w:t>s</w:t>
      </w:r>
      <w:r w:rsidR="00A0281E">
        <w:rPr>
          <w:rFonts w:ascii="Times New Roman" w:hAnsi="Times New Roman"/>
        </w:rPr>
        <w:t xml:space="preserve"> the new entry better than the proposed dining </w:t>
      </w:r>
      <w:r w:rsidR="0030405D">
        <w:rPr>
          <w:rFonts w:ascii="Times New Roman" w:hAnsi="Times New Roman"/>
        </w:rPr>
        <w:t xml:space="preserve">administrative </w:t>
      </w:r>
      <w:r w:rsidR="00A0281E">
        <w:rPr>
          <w:rFonts w:ascii="Times New Roman" w:hAnsi="Times New Roman"/>
        </w:rPr>
        <w:t>office</w:t>
      </w:r>
      <w:r w:rsidR="00C77375">
        <w:rPr>
          <w:rFonts w:ascii="Times New Roman" w:hAnsi="Times New Roman"/>
        </w:rPr>
        <w:t>s</w:t>
      </w:r>
      <w:r w:rsidR="00A0281E">
        <w:rPr>
          <w:rFonts w:ascii="Times New Roman" w:hAnsi="Times New Roman"/>
        </w:rPr>
        <w:t xml:space="preserve">. </w:t>
      </w:r>
      <w:r w:rsidR="002D4371">
        <w:rPr>
          <w:rFonts w:ascii="Times New Roman" w:hAnsi="Times New Roman"/>
        </w:rPr>
        <w:t>Moving the bookstore to the first floor would open space on the second floor in which dining</w:t>
      </w:r>
      <w:r>
        <w:rPr>
          <w:rFonts w:ascii="Times New Roman" w:hAnsi="Times New Roman"/>
        </w:rPr>
        <w:t xml:space="preserve"> administration office</w:t>
      </w:r>
      <w:r w:rsidR="00C77375">
        <w:rPr>
          <w:rFonts w:ascii="Times New Roman" w:hAnsi="Times New Roman"/>
        </w:rPr>
        <w:t>s</w:t>
      </w:r>
      <w:r>
        <w:rPr>
          <w:rFonts w:ascii="Times New Roman" w:hAnsi="Times New Roman"/>
        </w:rPr>
        <w:t xml:space="preserve"> w</w:t>
      </w:r>
      <w:r w:rsidR="00A0281E">
        <w:rPr>
          <w:rFonts w:ascii="Times New Roman" w:hAnsi="Times New Roman"/>
        </w:rPr>
        <w:t>ould</w:t>
      </w:r>
      <w:r w:rsidR="004708A6">
        <w:rPr>
          <w:rFonts w:ascii="Times New Roman" w:hAnsi="Times New Roman"/>
        </w:rPr>
        <w:t xml:space="preserve"> </w:t>
      </w:r>
      <w:r w:rsidR="002D4371">
        <w:rPr>
          <w:rFonts w:ascii="Times New Roman" w:hAnsi="Times New Roman"/>
        </w:rPr>
        <w:t xml:space="preserve">be accommodated.  The second floor is </w:t>
      </w:r>
      <w:r w:rsidR="004708A6">
        <w:rPr>
          <w:rFonts w:ascii="Times New Roman" w:hAnsi="Times New Roman"/>
        </w:rPr>
        <w:t>a more suitable location</w:t>
      </w:r>
      <w:r w:rsidR="002D4371">
        <w:rPr>
          <w:rFonts w:ascii="Times New Roman" w:hAnsi="Times New Roman"/>
        </w:rPr>
        <w:t xml:space="preserve"> for dining administration. </w:t>
      </w:r>
      <w:r w:rsidR="00A0281E">
        <w:rPr>
          <w:rFonts w:ascii="Times New Roman" w:hAnsi="Times New Roman"/>
        </w:rPr>
        <w:t>Subsequently</w:t>
      </w:r>
      <w:r>
        <w:rPr>
          <w:rFonts w:ascii="Times New Roman" w:hAnsi="Times New Roman"/>
        </w:rPr>
        <w:t>,</w:t>
      </w:r>
      <w:r w:rsidR="00A0281E">
        <w:rPr>
          <w:rFonts w:ascii="Times New Roman" w:hAnsi="Times New Roman"/>
        </w:rPr>
        <w:t xml:space="preserve"> </w:t>
      </w:r>
      <w:r w:rsidR="002D5EA1">
        <w:rPr>
          <w:rFonts w:ascii="Times New Roman" w:hAnsi="Times New Roman"/>
        </w:rPr>
        <w:t xml:space="preserve">discussions with </w:t>
      </w:r>
      <w:r w:rsidR="006A41A3" w:rsidRPr="006A41A3">
        <w:rPr>
          <w:rFonts w:ascii="Times New Roman" w:hAnsi="Times New Roman"/>
        </w:rPr>
        <w:t xml:space="preserve">Barnes and Noble Corporation </w:t>
      </w:r>
      <w:r w:rsidR="002D5EA1">
        <w:rPr>
          <w:rFonts w:ascii="Times New Roman" w:hAnsi="Times New Roman"/>
        </w:rPr>
        <w:t xml:space="preserve">have indicated a willingness </w:t>
      </w:r>
      <w:r>
        <w:rPr>
          <w:rFonts w:ascii="Times New Roman" w:hAnsi="Times New Roman"/>
        </w:rPr>
        <w:t>to agree to and accept this</w:t>
      </w:r>
      <w:r w:rsidR="006A41A3" w:rsidRPr="006A41A3">
        <w:rPr>
          <w:rFonts w:ascii="Times New Roman" w:hAnsi="Times New Roman"/>
        </w:rPr>
        <w:t xml:space="preserve"> alternate</w:t>
      </w:r>
      <w:r w:rsidR="00C77375">
        <w:rPr>
          <w:rFonts w:ascii="Times New Roman" w:hAnsi="Times New Roman"/>
        </w:rPr>
        <w:t xml:space="preserve"> </w:t>
      </w:r>
      <w:r w:rsidR="006A41A3" w:rsidRPr="006A41A3">
        <w:rPr>
          <w:rFonts w:ascii="Times New Roman" w:hAnsi="Times New Roman"/>
        </w:rPr>
        <w:t>location</w:t>
      </w:r>
      <w:r>
        <w:rPr>
          <w:rFonts w:ascii="Times New Roman" w:hAnsi="Times New Roman"/>
        </w:rPr>
        <w:t>.</w:t>
      </w:r>
    </w:p>
    <w:p w:rsidR="006723A5" w:rsidRDefault="006723A5" w:rsidP="00227C71">
      <w:pPr>
        <w:rPr>
          <w:rFonts w:ascii="Times New Roman" w:hAnsi="Times New Roman"/>
        </w:rPr>
      </w:pPr>
    </w:p>
    <w:p w:rsidR="00C443E2" w:rsidRPr="00BC52F5" w:rsidRDefault="00BC52F5" w:rsidP="00227C71">
      <w:pPr>
        <w:rPr>
          <w:rFonts w:ascii="Times New Roman" w:hAnsi="Times New Roman"/>
          <w:b/>
          <w:u w:val="single"/>
        </w:rPr>
      </w:pPr>
      <w:r>
        <w:rPr>
          <w:rFonts w:ascii="Times New Roman" w:hAnsi="Times New Roman"/>
          <w:b/>
          <w:u w:val="single"/>
        </w:rPr>
        <w:t>Status</w:t>
      </w:r>
      <w:r w:rsidR="004708A6">
        <w:rPr>
          <w:rFonts w:ascii="Times New Roman" w:hAnsi="Times New Roman"/>
          <w:b/>
          <w:u w:val="single"/>
        </w:rPr>
        <w:t xml:space="preserve"> Update</w:t>
      </w:r>
    </w:p>
    <w:p w:rsidR="00BC52F5" w:rsidRDefault="00BC52F5" w:rsidP="00227C71">
      <w:pPr>
        <w:rPr>
          <w:rFonts w:ascii="Times New Roman" w:hAnsi="Times New Roman"/>
        </w:rPr>
      </w:pPr>
      <w:r>
        <w:rPr>
          <w:rFonts w:ascii="Times New Roman" w:hAnsi="Times New Roman"/>
        </w:rPr>
        <w:t>Working with the stakeholder</w:t>
      </w:r>
      <w:r w:rsidR="006A41A3">
        <w:rPr>
          <w:rFonts w:ascii="Times New Roman" w:hAnsi="Times New Roman"/>
        </w:rPr>
        <w:t xml:space="preserve"> project steering committee</w:t>
      </w:r>
      <w:r>
        <w:rPr>
          <w:rFonts w:ascii="Times New Roman" w:hAnsi="Times New Roman"/>
        </w:rPr>
        <w:t>, the design team developed</w:t>
      </w:r>
      <w:r w:rsidR="00BE7988">
        <w:rPr>
          <w:rFonts w:ascii="Times New Roman" w:hAnsi="Times New Roman"/>
        </w:rPr>
        <w:t xml:space="preserve"> a schematic plan </w:t>
      </w:r>
      <w:r w:rsidR="004708A6">
        <w:rPr>
          <w:rFonts w:ascii="Times New Roman" w:hAnsi="Times New Roman"/>
        </w:rPr>
        <w:t>for</w:t>
      </w:r>
      <w:r w:rsidR="00BE7988">
        <w:rPr>
          <w:rFonts w:ascii="Times New Roman" w:hAnsi="Times New Roman"/>
        </w:rPr>
        <w:t xml:space="preserve"> a</w:t>
      </w:r>
      <w:r w:rsidR="00AC094C">
        <w:rPr>
          <w:rFonts w:ascii="Times New Roman" w:hAnsi="Times New Roman"/>
        </w:rPr>
        <w:t xml:space="preserve"> three-story </w:t>
      </w:r>
      <w:r w:rsidR="00BE7988">
        <w:rPr>
          <w:rFonts w:ascii="Times New Roman" w:hAnsi="Times New Roman"/>
        </w:rPr>
        <w:t xml:space="preserve">addition on the </w:t>
      </w:r>
      <w:r w:rsidR="00B179CB">
        <w:rPr>
          <w:rFonts w:ascii="Times New Roman" w:hAnsi="Times New Roman"/>
        </w:rPr>
        <w:t>north</w:t>
      </w:r>
      <w:r w:rsidR="00BE7988">
        <w:rPr>
          <w:rFonts w:ascii="Times New Roman" w:hAnsi="Times New Roman"/>
        </w:rPr>
        <w:t xml:space="preserve">east side of the building that includes </w:t>
      </w:r>
      <w:r w:rsidR="009245AD">
        <w:rPr>
          <w:rFonts w:ascii="Times New Roman" w:hAnsi="Times New Roman"/>
        </w:rPr>
        <w:t xml:space="preserve">a </w:t>
      </w:r>
      <w:r w:rsidR="00BE7988">
        <w:rPr>
          <w:rFonts w:ascii="Times New Roman" w:hAnsi="Times New Roman"/>
        </w:rPr>
        <w:t>lobby</w:t>
      </w:r>
      <w:r w:rsidR="00283E32">
        <w:rPr>
          <w:rFonts w:ascii="Times New Roman" w:hAnsi="Times New Roman"/>
        </w:rPr>
        <w:t>, coffee shop,</w:t>
      </w:r>
      <w:r w:rsidR="00BE7988">
        <w:rPr>
          <w:rFonts w:ascii="Times New Roman" w:hAnsi="Times New Roman"/>
        </w:rPr>
        <w:t xml:space="preserve"> </w:t>
      </w:r>
      <w:r w:rsidR="00AC094C">
        <w:rPr>
          <w:rFonts w:ascii="Times New Roman" w:hAnsi="Times New Roman"/>
        </w:rPr>
        <w:t xml:space="preserve">and an </w:t>
      </w:r>
      <w:r w:rsidR="002D5EA1">
        <w:rPr>
          <w:rFonts w:ascii="Times New Roman" w:hAnsi="Times New Roman"/>
        </w:rPr>
        <w:t xml:space="preserve">area </w:t>
      </w:r>
      <w:r w:rsidR="009245AD">
        <w:rPr>
          <w:rFonts w:ascii="Times New Roman" w:hAnsi="Times New Roman"/>
        </w:rPr>
        <w:t>for welcoming</w:t>
      </w:r>
      <w:r w:rsidR="002D5EA1">
        <w:rPr>
          <w:rFonts w:ascii="Times New Roman" w:hAnsi="Times New Roman"/>
        </w:rPr>
        <w:t xml:space="preserve"> prospective students and their families</w:t>
      </w:r>
      <w:r w:rsidR="00BE7988">
        <w:rPr>
          <w:rFonts w:ascii="Times New Roman" w:hAnsi="Times New Roman"/>
        </w:rPr>
        <w:t xml:space="preserve">.  Included </w:t>
      </w:r>
      <w:r w:rsidR="00B179CB">
        <w:rPr>
          <w:rFonts w:ascii="Times New Roman" w:hAnsi="Times New Roman"/>
        </w:rPr>
        <w:t xml:space="preserve">with this northeast building addition is </w:t>
      </w:r>
      <w:r w:rsidR="009245AD">
        <w:rPr>
          <w:rFonts w:ascii="Times New Roman" w:hAnsi="Times New Roman"/>
        </w:rPr>
        <w:t>an</w:t>
      </w:r>
      <w:r w:rsidR="00B179CB">
        <w:rPr>
          <w:rFonts w:ascii="Times New Roman" w:hAnsi="Times New Roman"/>
        </w:rPr>
        <w:t xml:space="preserve"> exterior stair and ramp that </w:t>
      </w:r>
      <w:r w:rsidR="004708A6">
        <w:rPr>
          <w:rFonts w:ascii="Times New Roman" w:hAnsi="Times New Roman"/>
        </w:rPr>
        <w:t xml:space="preserve">connects </w:t>
      </w:r>
      <w:r w:rsidR="00B179CB">
        <w:rPr>
          <w:rFonts w:ascii="Times New Roman" w:hAnsi="Times New Roman"/>
        </w:rPr>
        <w:t>the current two level</w:t>
      </w:r>
      <w:r w:rsidR="004708A6">
        <w:rPr>
          <w:rFonts w:ascii="Times New Roman" w:hAnsi="Times New Roman"/>
        </w:rPr>
        <w:t>s</w:t>
      </w:r>
      <w:r w:rsidR="00B179CB">
        <w:rPr>
          <w:rFonts w:ascii="Times New Roman" w:hAnsi="Times New Roman"/>
        </w:rPr>
        <w:t xml:space="preserve"> at the north end of the Bone-Milner plaza</w:t>
      </w:r>
      <w:r w:rsidR="004708A6">
        <w:rPr>
          <w:rFonts w:ascii="Times New Roman" w:hAnsi="Times New Roman"/>
        </w:rPr>
        <w:t>, overcoming this current access barrier</w:t>
      </w:r>
      <w:r w:rsidR="00B179CB">
        <w:rPr>
          <w:rFonts w:ascii="Times New Roman" w:hAnsi="Times New Roman"/>
        </w:rPr>
        <w:t xml:space="preserve">. This new </w:t>
      </w:r>
      <w:r w:rsidR="004708A6">
        <w:rPr>
          <w:rFonts w:ascii="Times New Roman" w:hAnsi="Times New Roman"/>
        </w:rPr>
        <w:t xml:space="preserve">exterior </w:t>
      </w:r>
      <w:r w:rsidR="00B179CB">
        <w:rPr>
          <w:rFonts w:ascii="Times New Roman" w:hAnsi="Times New Roman"/>
        </w:rPr>
        <w:t xml:space="preserve">stair and signage provide </w:t>
      </w:r>
      <w:r w:rsidR="009245AD">
        <w:rPr>
          <w:rFonts w:ascii="Times New Roman" w:hAnsi="Times New Roman"/>
        </w:rPr>
        <w:t>an enhanced</w:t>
      </w:r>
      <w:r w:rsidR="00B179CB">
        <w:rPr>
          <w:rFonts w:ascii="Times New Roman" w:hAnsi="Times New Roman"/>
        </w:rPr>
        <w:t xml:space="preserve"> campus gateway to the Bone-Miln</w:t>
      </w:r>
      <w:r w:rsidR="004708A6">
        <w:rPr>
          <w:rFonts w:ascii="Times New Roman" w:hAnsi="Times New Roman"/>
        </w:rPr>
        <w:t xml:space="preserve">er plaza and the </w:t>
      </w:r>
      <w:r w:rsidR="009245AD">
        <w:rPr>
          <w:rFonts w:ascii="Times New Roman" w:hAnsi="Times New Roman"/>
        </w:rPr>
        <w:t xml:space="preserve">University </w:t>
      </w:r>
      <w:r w:rsidR="004708A6">
        <w:rPr>
          <w:rFonts w:ascii="Times New Roman" w:hAnsi="Times New Roman"/>
        </w:rPr>
        <w:t>Quad. T</w:t>
      </w:r>
      <w:r w:rsidR="00B179CB">
        <w:rPr>
          <w:rFonts w:ascii="Times New Roman" w:hAnsi="Times New Roman"/>
        </w:rPr>
        <w:t>he proposed architecture a</w:t>
      </w:r>
      <w:r w:rsidR="004708A6">
        <w:rPr>
          <w:rFonts w:ascii="Times New Roman" w:hAnsi="Times New Roman"/>
        </w:rPr>
        <w:t xml:space="preserve">nd site improvements provide </w:t>
      </w:r>
      <w:r w:rsidR="00AC094C">
        <w:rPr>
          <w:rFonts w:ascii="Times New Roman" w:hAnsi="Times New Roman"/>
        </w:rPr>
        <w:t>a</w:t>
      </w:r>
      <w:r w:rsidR="00B179CB">
        <w:rPr>
          <w:rFonts w:ascii="Times New Roman" w:hAnsi="Times New Roman"/>
        </w:rPr>
        <w:t xml:space="preserve"> campus focal point and a clear and desirable path </w:t>
      </w:r>
      <w:r w:rsidR="00BE7988">
        <w:rPr>
          <w:rFonts w:ascii="Times New Roman" w:hAnsi="Times New Roman"/>
        </w:rPr>
        <w:t xml:space="preserve">from the </w:t>
      </w:r>
      <w:r w:rsidR="004708A6">
        <w:rPr>
          <w:rFonts w:ascii="Times New Roman" w:hAnsi="Times New Roman"/>
        </w:rPr>
        <w:t xml:space="preserve">north </w:t>
      </w:r>
      <w:r w:rsidR="00BE7988">
        <w:rPr>
          <w:rFonts w:ascii="Times New Roman" w:hAnsi="Times New Roman"/>
        </w:rPr>
        <w:t xml:space="preserve">visitor’s parking lot to the </w:t>
      </w:r>
      <w:r w:rsidR="00B179CB">
        <w:rPr>
          <w:rFonts w:ascii="Times New Roman" w:hAnsi="Times New Roman"/>
        </w:rPr>
        <w:t>Bone Student Center and the Illinois State University campus.</w:t>
      </w:r>
    </w:p>
    <w:p w:rsidR="00BE7988" w:rsidRDefault="00BE7988" w:rsidP="00227C71">
      <w:pPr>
        <w:rPr>
          <w:rFonts w:ascii="Times New Roman" w:hAnsi="Times New Roman"/>
        </w:rPr>
      </w:pPr>
    </w:p>
    <w:p w:rsidR="00BE7988" w:rsidRDefault="004708A6" w:rsidP="00227C71">
      <w:pPr>
        <w:rPr>
          <w:rFonts w:ascii="Times New Roman" w:hAnsi="Times New Roman"/>
        </w:rPr>
      </w:pPr>
      <w:r>
        <w:rPr>
          <w:rFonts w:ascii="Times New Roman" w:hAnsi="Times New Roman"/>
        </w:rPr>
        <w:t>Planned f</w:t>
      </w:r>
      <w:r w:rsidR="00BE7988">
        <w:rPr>
          <w:rFonts w:ascii="Times New Roman" w:hAnsi="Times New Roman"/>
        </w:rPr>
        <w:t xml:space="preserve">irst floor </w:t>
      </w:r>
      <w:r>
        <w:rPr>
          <w:rFonts w:ascii="Times New Roman" w:hAnsi="Times New Roman"/>
        </w:rPr>
        <w:t xml:space="preserve">renovations include </w:t>
      </w:r>
      <w:r w:rsidR="00634CE8">
        <w:rPr>
          <w:rFonts w:ascii="Times New Roman" w:hAnsi="Times New Roman"/>
        </w:rPr>
        <w:t>a better defined and easily accessed entry with central amenities</w:t>
      </w:r>
      <w:r w:rsidR="00AC094C">
        <w:rPr>
          <w:rFonts w:ascii="Times New Roman" w:hAnsi="Times New Roman"/>
        </w:rPr>
        <w:t>,</w:t>
      </w:r>
      <w:r w:rsidR="00634CE8">
        <w:rPr>
          <w:rFonts w:ascii="Times New Roman" w:hAnsi="Times New Roman"/>
        </w:rPr>
        <w:t xml:space="preserve"> including a new coffee shop venue</w:t>
      </w:r>
      <w:r w:rsidR="00C43C40">
        <w:rPr>
          <w:rFonts w:ascii="Times New Roman" w:hAnsi="Times New Roman"/>
        </w:rPr>
        <w:t xml:space="preserve"> in the vacated Dean of Students area</w:t>
      </w:r>
      <w:r w:rsidR="00C43C40" w:rsidRPr="00C43C40">
        <w:rPr>
          <w:rFonts w:ascii="Times New Roman" w:hAnsi="Times New Roman"/>
        </w:rPr>
        <w:t xml:space="preserve"> </w:t>
      </w:r>
      <w:r w:rsidR="00C43C40">
        <w:rPr>
          <w:rFonts w:ascii="Times New Roman" w:hAnsi="Times New Roman"/>
        </w:rPr>
        <w:t xml:space="preserve">that is open to the existing plaza courtyard. </w:t>
      </w:r>
      <w:r w:rsidR="00634CE8">
        <w:rPr>
          <w:rFonts w:ascii="Times New Roman" w:hAnsi="Times New Roman"/>
        </w:rPr>
        <w:t>The</w:t>
      </w:r>
      <w:r w:rsidR="00BE7988">
        <w:rPr>
          <w:rFonts w:ascii="Times New Roman" w:hAnsi="Times New Roman"/>
        </w:rPr>
        <w:t xml:space="preserve"> existing </w:t>
      </w:r>
      <w:r>
        <w:rPr>
          <w:rFonts w:ascii="Times New Roman" w:hAnsi="Times New Roman"/>
        </w:rPr>
        <w:t xml:space="preserve">second floor </w:t>
      </w:r>
      <w:r w:rsidR="00BE7988">
        <w:rPr>
          <w:rFonts w:ascii="Times New Roman" w:hAnsi="Times New Roman"/>
        </w:rPr>
        <w:t xml:space="preserve">bookstore </w:t>
      </w:r>
      <w:r w:rsidR="00634CE8">
        <w:rPr>
          <w:rFonts w:ascii="Times New Roman" w:hAnsi="Times New Roman"/>
        </w:rPr>
        <w:t xml:space="preserve">is relocated </w:t>
      </w:r>
      <w:r w:rsidR="00BE7988">
        <w:rPr>
          <w:rFonts w:ascii="Times New Roman" w:hAnsi="Times New Roman"/>
        </w:rPr>
        <w:t xml:space="preserve">to the </w:t>
      </w:r>
      <w:r>
        <w:rPr>
          <w:rFonts w:ascii="Times New Roman" w:hAnsi="Times New Roman"/>
        </w:rPr>
        <w:t>first floor north</w:t>
      </w:r>
      <w:r w:rsidR="00BE7988">
        <w:rPr>
          <w:rFonts w:ascii="Times New Roman" w:hAnsi="Times New Roman"/>
        </w:rPr>
        <w:t xml:space="preserve">east side, allowing for a separate entrance from </w:t>
      </w:r>
      <w:r w:rsidR="00634CE8">
        <w:rPr>
          <w:rFonts w:ascii="Times New Roman" w:hAnsi="Times New Roman"/>
        </w:rPr>
        <w:t xml:space="preserve">the </w:t>
      </w:r>
      <w:r w:rsidR="00BE7988">
        <w:rPr>
          <w:rFonts w:ascii="Times New Roman" w:hAnsi="Times New Roman"/>
        </w:rPr>
        <w:t>visitor’s parking</w:t>
      </w:r>
      <w:r w:rsidR="00634CE8">
        <w:rPr>
          <w:rFonts w:ascii="Times New Roman" w:hAnsi="Times New Roman"/>
        </w:rPr>
        <w:t xml:space="preserve"> lot</w:t>
      </w:r>
      <w:r w:rsidR="00BE7988">
        <w:rPr>
          <w:rFonts w:ascii="Times New Roman" w:hAnsi="Times New Roman"/>
        </w:rPr>
        <w:t xml:space="preserve">.  The </w:t>
      </w:r>
      <w:r>
        <w:rPr>
          <w:rFonts w:ascii="Times New Roman" w:hAnsi="Times New Roman"/>
        </w:rPr>
        <w:t xml:space="preserve">second floor </w:t>
      </w:r>
      <w:r w:rsidR="00BE7988">
        <w:rPr>
          <w:rFonts w:ascii="Times New Roman" w:hAnsi="Times New Roman"/>
        </w:rPr>
        <w:t>catering kitchen is relocated to the first floor</w:t>
      </w:r>
      <w:r w:rsidR="00634CE8">
        <w:rPr>
          <w:rFonts w:ascii="Times New Roman" w:hAnsi="Times New Roman"/>
        </w:rPr>
        <w:t>, adjacent the loading dock</w:t>
      </w:r>
      <w:r>
        <w:rPr>
          <w:rFonts w:ascii="Times New Roman" w:hAnsi="Times New Roman"/>
        </w:rPr>
        <w:t xml:space="preserve">. The </w:t>
      </w:r>
      <w:r w:rsidR="00BE7988">
        <w:rPr>
          <w:rFonts w:ascii="Times New Roman" w:hAnsi="Times New Roman"/>
        </w:rPr>
        <w:t xml:space="preserve">loading dock is </w:t>
      </w:r>
      <w:r>
        <w:rPr>
          <w:rFonts w:ascii="Times New Roman" w:hAnsi="Times New Roman"/>
        </w:rPr>
        <w:t xml:space="preserve">relocated, enlarged and </w:t>
      </w:r>
      <w:r w:rsidR="00BE7988">
        <w:rPr>
          <w:rFonts w:ascii="Times New Roman" w:hAnsi="Times New Roman"/>
        </w:rPr>
        <w:t xml:space="preserve">reconfigured for better access </w:t>
      </w:r>
      <w:r w:rsidR="00C45545">
        <w:rPr>
          <w:rFonts w:ascii="Times New Roman" w:hAnsi="Times New Roman"/>
        </w:rPr>
        <w:t>for receipt and</w:t>
      </w:r>
      <w:r w:rsidR="00BE7988">
        <w:rPr>
          <w:rFonts w:ascii="Times New Roman" w:hAnsi="Times New Roman"/>
        </w:rPr>
        <w:t xml:space="preserve"> delivery</w:t>
      </w:r>
      <w:r w:rsidR="00C45545">
        <w:rPr>
          <w:rFonts w:ascii="Times New Roman" w:hAnsi="Times New Roman"/>
        </w:rPr>
        <w:t xml:space="preserve"> of goods</w:t>
      </w:r>
      <w:r w:rsidR="00BE7988">
        <w:rPr>
          <w:rFonts w:ascii="Times New Roman" w:hAnsi="Times New Roman"/>
        </w:rPr>
        <w:t xml:space="preserve">.  The </w:t>
      </w:r>
      <w:r w:rsidR="00C45545">
        <w:rPr>
          <w:rFonts w:ascii="Times New Roman" w:hAnsi="Times New Roman"/>
        </w:rPr>
        <w:t xml:space="preserve">Bone Student Center and the </w:t>
      </w:r>
      <w:r w:rsidR="00BE7988">
        <w:rPr>
          <w:rFonts w:ascii="Times New Roman" w:hAnsi="Times New Roman"/>
        </w:rPr>
        <w:t xml:space="preserve">Brown Ballroom </w:t>
      </w:r>
      <w:r w:rsidR="00C45545">
        <w:rPr>
          <w:rFonts w:ascii="Times New Roman" w:hAnsi="Times New Roman"/>
        </w:rPr>
        <w:t>are</w:t>
      </w:r>
      <w:r w:rsidR="00BE7988">
        <w:rPr>
          <w:rFonts w:ascii="Times New Roman" w:hAnsi="Times New Roman"/>
        </w:rPr>
        <w:t xml:space="preserve"> improved by constructing a new west entrance </w:t>
      </w:r>
      <w:r w:rsidR="00634CE8">
        <w:rPr>
          <w:rFonts w:ascii="Times New Roman" w:hAnsi="Times New Roman"/>
        </w:rPr>
        <w:t>and adding</w:t>
      </w:r>
      <w:r w:rsidR="00BE7988">
        <w:rPr>
          <w:rFonts w:ascii="Times New Roman" w:hAnsi="Times New Roman"/>
        </w:rPr>
        <w:t xml:space="preserve"> pre-function space</w:t>
      </w:r>
      <w:r w:rsidR="00634CE8">
        <w:rPr>
          <w:rFonts w:ascii="Times New Roman" w:hAnsi="Times New Roman"/>
        </w:rPr>
        <w:t xml:space="preserve">. The </w:t>
      </w:r>
      <w:r w:rsidR="00BE7988">
        <w:rPr>
          <w:rFonts w:ascii="Times New Roman" w:hAnsi="Times New Roman"/>
        </w:rPr>
        <w:t xml:space="preserve">ballroom is </w:t>
      </w:r>
      <w:r w:rsidR="00634CE8">
        <w:rPr>
          <w:rFonts w:ascii="Times New Roman" w:hAnsi="Times New Roman"/>
        </w:rPr>
        <w:t xml:space="preserve">reconfigured with moveable partitions to allow </w:t>
      </w:r>
      <w:r w:rsidR="00BE7988">
        <w:rPr>
          <w:rFonts w:ascii="Times New Roman" w:hAnsi="Times New Roman"/>
        </w:rPr>
        <w:t xml:space="preserve">multiple functions </w:t>
      </w:r>
      <w:r w:rsidR="00634CE8">
        <w:rPr>
          <w:rFonts w:ascii="Times New Roman" w:hAnsi="Times New Roman"/>
        </w:rPr>
        <w:t>to</w:t>
      </w:r>
      <w:r w:rsidR="00BE7988">
        <w:rPr>
          <w:rFonts w:ascii="Times New Roman" w:hAnsi="Times New Roman"/>
        </w:rPr>
        <w:t xml:space="preserve"> be </w:t>
      </w:r>
      <w:r w:rsidR="00C45545">
        <w:rPr>
          <w:rFonts w:ascii="Times New Roman" w:hAnsi="Times New Roman"/>
        </w:rPr>
        <w:t>scheduled</w:t>
      </w:r>
      <w:r w:rsidR="00BE7988">
        <w:rPr>
          <w:rFonts w:ascii="Times New Roman" w:hAnsi="Times New Roman"/>
        </w:rPr>
        <w:t xml:space="preserve"> simultaneously.</w:t>
      </w:r>
    </w:p>
    <w:p w:rsidR="00BE7988" w:rsidRDefault="00BE7988" w:rsidP="00227C71">
      <w:pPr>
        <w:rPr>
          <w:rFonts w:ascii="Times New Roman" w:hAnsi="Times New Roman"/>
        </w:rPr>
      </w:pPr>
    </w:p>
    <w:p w:rsidR="00BE7988" w:rsidRDefault="00634CE8" w:rsidP="00227C71">
      <w:pPr>
        <w:rPr>
          <w:rFonts w:ascii="Times New Roman" w:hAnsi="Times New Roman"/>
        </w:rPr>
      </w:pPr>
      <w:r>
        <w:rPr>
          <w:rFonts w:ascii="Times New Roman" w:hAnsi="Times New Roman"/>
        </w:rPr>
        <w:t>Planned s</w:t>
      </w:r>
      <w:r w:rsidR="00BE7988">
        <w:rPr>
          <w:rFonts w:ascii="Times New Roman" w:hAnsi="Times New Roman"/>
        </w:rPr>
        <w:t xml:space="preserve">econd floor work includes a new </w:t>
      </w:r>
      <w:r w:rsidR="00C43C40">
        <w:rPr>
          <w:rFonts w:ascii="Times New Roman" w:hAnsi="Times New Roman"/>
        </w:rPr>
        <w:t xml:space="preserve">plaza </w:t>
      </w:r>
      <w:r>
        <w:rPr>
          <w:rFonts w:ascii="Times New Roman" w:hAnsi="Times New Roman"/>
        </w:rPr>
        <w:t xml:space="preserve">south </w:t>
      </w:r>
      <w:r w:rsidR="00BE7988">
        <w:rPr>
          <w:rFonts w:ascii="Times New Roman" w:hAnsi="Times New Roman"/>
        </w:rPr>
        <w:t xml:space="preserve">lobby </w:t>
      </w:r>
      <w:r>
        <w:rPr>
          <w:rFonts w:ascii="Times New Roman" w:hAnsi="Times New Roman"/>
        </w:rPr>
        <w:t xml:space="preserve">facing the Quad </w:t>
      </w:r>
      <w:r w:rsidR="00BE7988">
        <w:rPr>
          <w:rFonts w:ascii="Times New Roman" w:hAnsi="Times New Roman"/>
        </w:rPr>
        <w:t xml:space="preserve">from </w:t>
      </w:r>
      <w:r w:rsidR="00C45545">
        <w:rPr>
          <w:rFonts w:ascii="Times New Roman" w:hAnsi="Times New Roman"/>
        </w:rPr>
        <w:t>the Bone-</w:t>
      </w:r>
      <w:r w:rsidR="00BE7988">
        <w:rPr>
          <w:rFonts w:ascii="Times New Roman" w:hAnsi="Times New Roman"/>
        </w:rPr>
        <w:t xml:space="preserve">Milner Plaza </w:t>
      </w:r>
      <w:r>
        <w:rPr>
          <w:rFonts w:ascii="Times New Roman" w:hAnsi="Times New Roman"/>
        </w:rPr>
        <w:t>and a</w:t>
      </w:r>
      <w:r w:rsidR="00BE7988">
        <w:rPr>
          <w:rFonts w:ascii="Times New Roman" w:hAnsi="Times New Roman"/>
        </w:rPr>
        <w:t xml:space="preserve"> reconfiguration</w:t>
      </w:r>
      <w:r w:rsidR="00C43C40">
        <w:rPr>
          <w:rFonts w:ascii="Times New Roman" w:hAnsi="Times New Roman"/>
        </w:rPr>
        <w:t>, enlargement</w:t>
      </w:r>
      <w:r w:rsidR="00BE7988">
        <w:rPr>
          <w:rFonts w:ascii="Times New Roman" w:hAnsi="Times New Roman"/>
        </w:rPr>
        <w:t xml:space="preserve"> </w:t>
      </w:r>
      <w:r>
        <w:rPr>
          <w:rFonts w:ascii="Times New Roman" w:hAnsi="Times New Roman"/>
        </w:rPr>
        <w:t xml:space="preserve">and improvement </w:t>
      </w:r>
      <w:r w:rsidR="00BE7988">
        <w:rPr>
          <w:rFonts w:ascii="Times New Roman" w:hAnsi="Times New Roman"/>
        </w:rPr>
        <w:t>of the food court area</w:t>
      </w:r>
      <w:r w:rsidR="00C43C40">
        <w:rPr>
          <w:rFonts w:ascii="Times New Roman" w:hAnsi="Times New Roman"/>
        </w:rPr>
        <w:t xml:space="preserve"> with new windows introducing natural light to the building interior</w:t>
      </w:r>
      <w:r w:rsidR="00BE7988">
        <w:rPr>
          <w:rFonts w:ascii="Times New Roman" w:hAnsi="Times New Roman"/>
        </w:rPr>
        <w:t>.</w:t>
      </w:r>
      <w:r w:rsidR="00283E32">
        <w:rPr>
          <w:rFonts w:ascii="Times New Roman" w:hAnsi="Times New Roman"/>
        </w:rPr>
        <w:t xml:space="preserve">  </w:t>
      </w:r>
      <w:r w:rsidR="00C43C40">
        <w:rPr>
          <w:rFonts w:ascii="Times New Roman" w:hAnsi="Times New Roman"/>
        </w:rPr>
        <w:t>The faculty staff commons is relocate</w:t>
      </w:r>
      <w:r w:rsidR="00BB0065">
        <w:rPr>
          <w:rFonts w:ascii="Times New Roman" w:hAnsi="Times New Roman"/>
        </w:rPr>
        <w:t>d from the first floor to a new</w:t>
      </w:r>
      <w:r w:rsidR="00C43C40">
        <w:rPr>
          <w:rFonts w:ascii="Times New Roman" w:hAnsi="Times New Roman"/>
        </w:rPr>
        <w:t xml:space="preserve"> </w:t>
      </w:r>
      <w:r w:rsidR="00BB0065">
        <w:rPr>
          <w:rFonts w:ascii="Times New Roman" w:hAnsi="Times New Roman"/>
        </w:rPr>
        <w:t xml:space="preserve">easily accessible </w:t>
      </w:r>
      <w:r w:rsidR="00C43C40">
        <w:rPr>
          <w:rFonts w:ascii="Times New Roman" w:hAnsi="Times New Roman"/>
        </w:rPr>
        <w:t xml:space="preserve">northeast </w:t>
      </w:r>
      <w:r w:rsidR="00C45545">
        <w:rPr>
          <w:rFonts w:ascii="Times New Roman" w:hAnsi="Times New Roman"/>
        </w:rPr>
        <w:t xml:space="preserve">location </w:t>
      </w:r>
      <w:r w:rsidR="00C43C40">
        <w:rPr>
          <w:rFonts w:ascii="Times New Roman" w:hAnsi="Times New Roman"/>
        </w:rPr>
        <w:t xml:space="preserve">adjacent the Prairie Room. </w:t>
      </w:r>
      <w:r w:rsidR="00C45545">
        <w:rPr>
          <w:rFonts w:ascii="Times New Roman" w:hAnsi="Times New Roman"/>
        </w:rPr>
        <w:t>Second floor</w:t>
      </w:r>
      <w:r w:rsidR="00BB0065">
        <w:rPr>
          <w:rFonts w:ascii="Times New Roman" w:hAnsi="Times New Roman"/>
        </w:rPr>
        <w:t xml:space="preserve"> t</w:t>
      </w:r>
      <w:r w:rsidR="00C43C40">
        <w:rPr>
          <w:rFonts w:ascii="Times New Roman" w:hAnsi="Times New Roman"/>
        </w:rPr>
        <w:t xml:space="preserve">ransition space is </w:t>
      </w:r>
      <w:r w:rsidR="00BB0065">
        <w:rPr>
          <w:rFonts w:ascii="Times New Roman" w:hAnsi="Times New Roman"/>
        </w:rPr>
        <w:t xml:space="preserve">occupied by student involvement office and activity space for student leadership organizations.  </w:t>
      </w:r>
      <w:r w:rsidR="00C43C40">
        <w:rPr>
          <w:rFonts w:ascii="Times New Roman" w:hAnsi="Times New Roman"/>
        </w:rPr>
        <w:t xml:space="preserve">Dean of Students staff and </w:t>
      </w:r>
      <w:r w:rsidR="00283E32">
        <w:rPr>
          <w:rFonts w:ascii="Times New Roman" w:hAnsi="Times New Roman"/>
        </w:rPr>
        <w:t>Dining Services</w:t>
      </w:r>
      <w:r w:rsidR="00C43C40">
        <w:rPr>
          <w:rFonts w:ascii="Times New Roman" w:hAnsi="Times New Roman"/>
        </w:rPr>
        <w:t xml:space="preserve"> administrative staff </w:t>
      </w:r>
      <w:r w:rsidR="00BB0065">
        <w:rPr>
          <w:rFonts w:ascii="Times New Roman" w:hAnsi="Times New Roman"/>
        </w:rPr>
        <w:t>are relocated to</w:t>
      </w:r>
      <w:r w:rsidR="00C43C40">
        <w:rPr>
          <w:rFonts w:ascii="Times New Roman" w:hAnsi="Times New Roman"/>
        </w:rPr>
        <w:t xml:space="preserve"> the vacated second floor bookstore space. </w:t>
      </w:r>
      <w:r w:rsidR="00C45545">
        <w:rPr>
          <w:rFonts w:ascii="Times New Roman" w:hAnsi="Times New Roman"/>
        </w:rPr>
        <w:t xml:space="preserve"> </w:t>
      </w:r>
    </w:p>
    <w:p w:rsidR="00BC52F5" w:rsidRDefault="00BC52F5" w:rsidP="00227C71">
      <w:pPr>
        <w:rPr>
          <w:rFonts w:ascii="Times New Roman" w:hAnsi="Times New Roman"/>
        </w:rPr>
      </w:pPr>
    </w:p>
    <w:p w:rsidR="002D18FF" w:rsidRDefault="00283E32" w:rsidP="00227C71">
      <w:pPr>
        <w:rPr>
          <w:rFonts w:ascii="Times New Roman" w:hAnsi="Times New Roman"/>
        </w:rPr>
      </w:pPr>
      <w:r>
        <w:rPr>
          <w:rFonts w:ascii="Times New Roman" w:hAnsi="Times New Roman"/>
        </w:rPr>
        <w:t>The</w:t>
      </w:r>
      <w:r w:rsidR="00BB0065">
        <w:rPr>
          <w:rFonts w:ascii="Times New Roman" w:hAnsi="Times New Roman"/>
        </w:rPr>
        <w:t xml:space="preserve"> planned northeast </w:t>
      </w:r>
      <w:r>
        <w:rPr>
          <w:rFonts w:ascii="Times New Roman" w:hAnsi="Times New Roman"/>
        </w:rPr>
        <w:t xml:space="preserve">addition includes a </w:t>
      </w:r>
      <w:r w:rsidR="00BB0065">
        <w:rPr>
          <w:rFonts w:ascii="Times New Roman" w:hAnsi="Times New Roman"/>
        </w:rPr>
        <w:t xml:space="preserve">prominent campus architectural focal point housing </w:t>
      </w:r>
      <w:r w:rsidR="009245AD">
        <w:rPr>
          <w:rFonts w:ascii="Times New Roman" w:hAnsi="Times New Roman"/>
        </w:rPr>
        <w:t xml:space="preserve">an area to welcome </w:t>
      </w:r>
      <w:r w:rsidR="00AC094C">
        <w:rPr>
          <w:rFonts w:ascii="Times New Roman" w:hAnsi="Times New Roman"/>
        </w:rPr>
        <w:t xml:space="preserve">visitors to campus, including </w:t>
      </w:r>
      <w:r w:rsidR="009245AD">
        <w:rPr>
          <w:rFonts w:ascii="Times New Roman" w:hAnsi="Times New Roman"/>
        </w:rPr>
        <w:t>prospective students and their families</w:t>
      </w:r>
      <w:r>
        <w:rPr>
          <w:rFonts w:ascii="Times New Roman" w:hAnsi="Times New Roman"/>
        </w:rPr>
        <w:t xml:space="preserve">.  This </w:t>
      </w:r>
      <w:r w:rsidR="00BB0065">
        <w:rPr>
          <w:rFonts w:ascii="Times New Roman" w:hAnsi="Times New Roman"/>
        </w:rPr>
        <w:t xml:space="preserve">new </w:t>
      </w:r>
      <w:r>
        <w:rPr>
          <w:rFonts w:ascii="Times New Roman" w:hAnsi="Times New Roman"/>
        </w:rPr>
        <w:t xml:space="preserve">space will </w:t>
      </w:r>
      <w:r w:rsidR="009245AD">
        <w:rPr>
          <w:rFonts w:ascii="Times New Roman" w:hAnsi="Times New Roman"/>
        </w:rPr>
        <w:t xml:space="preserve">create </w:t>
      </w:r>
      <w:r w:rsidR="00BB0065">
        <w:rPr>
          <w:rFonts w:ascii="Times New Roman" w:hAnsi="Times New Roman"/>
        </w:rPr>
        <w:t>an easy to find</w:t>
      </w:r>
      <w:r w:rsidR="00521331">
        <w:rPr>
          <w:rFonts w:ascii="Times New Roman" w:hAnsi="Times New Roman"/>
        </w:rPr>
        <w:t xml:space="preserve"> </w:t>
      </w:r>
      <w:r w:rsidR="00521331" w:rsidRPr="00521331">
        <w:rPr>
          <w:rFonts w:ascii="Times New Roman" w:hAnsi="Times New Roman"/>
          <w:i/>
        </w:rPr>
        <w:t xml:space="preserve">“Illinois State University </w:t>
      </w:r>
      <w:r w:rsidR="00BB0065" w:rsidRPr="00521331">
        <w:rPr>
          <w:rFonts w:ascii="Times New Roman" w:hAnsi="Times New Roman"/>
          <w:i/>
        </w:rPr>
        <w:t>Destination”</w:t>
      </w:r>
      <w:r w:rsidR="00BB0065">
        <w:rPr>
          <w:rFonts w:ascii="Times New Roman" w:hAnsi="Times New Roman"/>
        </w:rPr>
        <w:t xml:space="preserve"> and meeting space and provide a view of</w:t>
      </w:r>
      <w:r>
        <w:rPr>
          <w:rFonts w:ascii="Times New Roman" w:hAnsi="Times New Roman"/>
        </w:rPr>
        <w:t xml:space="preserve"> the Quad </w:t>
      </w:r>
      <w:r w:rsidR="00AC094C">
        <w:rPr>
          <w:rFonts w:ascii="Times New Roman" w:hAnsi="Times New Roman"/>
        </w:rPr>
        <w:t xml:space="preserve">to </w:t>
      </w:r>
      <w:r w:rsidR="00BB0065">
        <w:rPr>
          <w:rFonts w:ascii="Times New Roman" w:hAnsi="Times New Roman"/>
        </w:rPr>
        <w:t>the south.</w:t>
      </w:r>
      <w:r w:rsidR="00521331">
        <w:rPr>
          <w:rFonts w:ascii="Times New Roman" w:hAnsi="Times New Roman"/>
        </w:rPr>
        <w:t xml:space="preserve"> This will improve </w:t>
      </w:r>
      <w:r w:rsidR="00BB0065">
        <w:rPr>
          <w:rFonts w:ascii="Times New Roman" w:hAnsi="Times New Roman"/>
        </w:rPr>
        <w:t xml:space="preserve">campus </w:t>
      </w:r>
      <w:r w:rsidR="00C45545">
        <w:rPr>
          <w:rFonts w:ascii="Times New Roman" w:hAnsi="Times New Roman"/>
        </w:rPr>
        <w:t>way</w:t>
      </w:r>
      <w:r w:rsidR="009245AD">
        <w:rPr>
          <w:rFonts w:ascii="Times New Roman" w:hAnsi="Times New Roman"/>
        </w:rPr>
        <w:t>-</w:t>
      </w:r>
      <w:r w:rsidR="00C45545">
        <w:rPr>
          <w:rFonts w:ascii="Times New Roman" w:hAnsi="Times New Roman"/>
        </w:rPr>
        <w:t xml:space="preserve">finding and the </w:t>
      </w:r>
      <w:r>
        <w:rPr>
          <w:rFonts w:ascii="Times New Roman" w:hAnsi="Times New Roman"/>
        </w:rPr>
        <w:t xml:space="preserve">arrival </w:t>
      </w:r>
      <w:r w:rsidR="00521331">
        <w:rPr>
          <w:rFonts w:ascii="Times New Roman" w:hAnsi="Times New Roman"/>
        </w:rPr>
        <w:t xml:space="preserve">experience and provide </w:t>
      </w:r>
      <w:r w:rsidR="00AC094C">
        <w:rPr>
          <w:rFonts w:ascii="Times New Roman" w:hAnsi="Times New Roman"/>
        </w:rPr>
        <w:t xml:space="preserve">an </w:t>
      </w:r>
      <w:r w:rsidR="00521331">
        <w:rPr>
          <w:rFonts w:ascii="Times New Roman" w:hAnsi="Times New Roman"/>
        </w:rPr>
        <w:t xml:space="preserve">arrival </w:t>
      </w:r>
    </w:p>
    <w:p w:rsidR="00C443E2" w:rsidRDefault="00521331" w:rsidP="00227C71">
      <w:pPr>
        <w:rPr>
          <w:rFonts w:ascii="Times New Roman" w:hAnsi="Times New Roman"/>
        </w:rPr>
      </w:pPr>
      <w:bookmarkStart w:id="0" w:name="_GoBack"/>
      <w:bookmarkEnd w:id="0"/>
      <w:proofErr w:type="gramStart"/>
      <w:r>
        <w:rPr>
          <w:rFonts w:ascii="Times New Roman" w:hAnsi="Times New Roman"/>
        </w:rPr>
        <w:lastRenderedPageBreak/>
        <w:t>sequence</w:t>
      </w:r>
      <w:proofErr w:type="gramEnd"/>
      <w:r>
        <w:rPr>
          <w:rFonts w:ascii="Times New Roman" w:hAnsi="Times New Roman"/>
        </w:rPr>
        <w:t xml:space="preserve"> for the</w:t>
      </w:r>
      <w:r w:rsidR="00283E32">
        <w:rPr>
          <w:rFonts w:ascii="Times New Roman" w:hAnsi="Times New Roman"/>
        </w:rPr>
        <w:t xml:space="preserve"> campus.</w:t>
      </w:r>
      <w:r w:rsidR="00012C00">
        <w:rPr>
          <w:rFonts w:ascii="Times New Roman" w:hAnsi="Times New Roman"/>
        </w:rPr>
        <w:t xml:space="preserve">  The </w:t>
      </w:r>
      <w:r>
        <w:rPr>
          <w:rFonts w:ascii="Times New Roman" w:hAnsi="Times New Roman"/>
        </w:rPr>
        <w:t xml:space="preserve">new </w:t>
      </w:r>
      <w:r w:rsidR="009245AD">
        <w:rPr>
          <w:rFonts w:ascii="Times New Roman" w:hAnsi="Times New Roman"/>
        </w:rPr>
        <w:t>space</w:t>
      </w:r>
      <w:r w:rsidR="00012C00">
        <w:rPr>
          <w:rFonts w:ascii="Times New Roman" w:hAnsi="Times New Roman"/>
        </w:rPr>
        <w:t xml:space="preserve"> </w:t>
      </w:r>
      <w:r>
        <w:rPr>
          <w:rFonts w:ascii="Times New Roman" w:hAnsi="Times New Roman"/>
        </w:rPr>
        <w:t>is intended to serve multiple functions and includes</w:t>
      </w:r>
      <w:r w:rsidR="00012C00">
        <w:rPr>
          <w:rFonts w:ascii="Times New Roman" w:hAnsi="Times New Roman"/>
        </w:rPr>
        <w:t xml:space="preserve"> a large presentation room</w:t>
      </w:r>
      <w:r>
        <w:rPr>
          <w:rFonts w:ascii="Times New Roman" w:hAnsi="Times New Roman"/>
        </w:rPr>
        <w:t xml:space="preserve">, interior spaces, </w:t>
      </w:r>
      <w:r w:rsidR="00AC094C">
        <w:rPr>
          <w:rFonts w:ascii="Times New Roman" w:hAnsi="Times New Roman"/>
        </w:rPr>
        <w:t xml:space="preserve">and </w:t>
      </w:r>
      <w:r>
        <w:rPr>
          <w:rFonts w:ascii="Times New Roman" w:hAnsi="Times New Roman"/>
        </w:rPr>
        <w:t>exterior spaces</w:t>
      </w:r>
      <w:r w:rsidR="00AC094C">
        <w:rPr>
          <w:rFonts w:ascii="Times New Roman" w:hAnsi="Times New Roman"/>
        </w:rPr>
        <w:t xml:space="preserve">.  </w:t>
      </w:r>
    </w:p>
    <w:p w:rsidR="00283E32" w:rsidRDefault="00283E32" w:rsidP="00227C71">
      <w:pPr>
        <w:rPr>
          <w:rFonts w:ascii="Times New Roman" w:hAnsi="Times New Roman"/>
        </w:rPr>
      </w:pPr>
    </w:p>
    <w:p w:rsidR="00F60619" w:rsidRDefault="00BA676D" w:rsidP="00227C71">
      <w:pPr>
        <w:rPr>
          <w:rFonts w:ascii="Times New Roman" w:hAnsi="Times New Roman"/>
        </w:rPr>
      </w:pPr>
      <w:proofErr w:type="gramStart"/>
      <w:r>
        <w:rPr>
          <w:rFonts w:ascii="Times New Roman" w:hAnsi="Times New Roman"/>
          <w:b/>
          <w:u w:val="single"/>
        </w:rPr>
        <w:t>Funding Plan.</w:t>
      </w:r>
      <w:proofErr w:type="gramEnd"/>
      <w:r w:rsidRPr="00571F0D">
        <w:rPr>
          <w:rFonts w:ascii="Times New Roman" w:hAnsi="Times New Roman"/>
          <w:b/>
        </w:rPr>
        <w:t xml:space="preserve">  </w:t>
      </w:r>
      <w:r>
        <w:rPr>
          <w:rFonts w:ascii="Times New Roman" w:hAnsi="Times New Roman"/>
        </w:rPr>
        <w:t>The estimated cost of the first phase of the Bone Student Center Revitalization project totals $32.9 million</w:t>
      </w:r>
      <w:r w:rsidR="00176A04">
        <w:rPr>
          <w:rFonts w:ascii="Times New Roman" w:hAnsi="Times New Roman"/>
        </w:rPr>
        <w:t xml:space="preserve">. Funding for the project will </w:t>
      </w:r>
      <w:r w:rsidR="0095674A">
        <w:rPr>
          <w:rFonts w:ascii="Times New Roman" w:hAnsi="Times New Roman"/>
        </w:rPr>
        <w:t xml:space="preserve">come from </w:t>
      </w:r>
      <w:r w:rsidR="00571F0D">
        <w:rPr>
          <w:rFonts w:ascii="Times New Roman" w:hAnsi="Times New Roman"/>
        </w:rPr>
        <w:t xml:space="preserve">multiple sources </w:t>
      </w:r>
      <w:r w:rsidR="00F60619">
        <w:rPr>
          <w:rFonts w:ascii="Times New Roman" w:hAnsi="Times New Roman"/>
        </w:rPr>
        <w:t>as follows:</w:t>
      </w:r>
    </w:p>
    <w:p w:rsidR="004709D3" w:rsidRDefault="004709D3" w:rsidP="00227C71">
      <w:pPr>
        <w:rPr>
          <w:rFonts w:ascii="Times New Roman" w:hAnsi="Times New Roman"/>
        </w:rPr>
      </w:pPr>
    </w:p>
    <w:p w:rsidR="004709D3" w:rsidRDefault="004709D3" w:rsidP="00227C71">
      <w:pPr>
        <w:rPr>
          <w:rFonts w:ascii="Times New Roman" w:hAnsi="Times New Roman"/>
          <w:b/>
          <w:u w:val="single"/>
        </w:rPr>
      </w:pPr>
      <w:r>
        <w:rPr>
          <w:rFonts w:ascii="Times New Roman" w:hAnsi="Times New Roman"/>
          <w:b/>
          <w:u w:val="single"/>
        </w:rPr>
        <w:t>Source of Revenue</w:t>
      </w:r>
    </w:p>
    <w:p w:rsidR="004709D3" w:rsidRDefault="004709D3" w:rsidP="00227C71">
      <w:pPr>
        <w:rPr>
          <w:rFonts w:ascii="Times New Roman" w:hAnsi="Times New Roman"/>
        </w:rPr>
      </w:pPr>
      <w:r>
        <w:rPr>
          <w:rFonts w:ascii="Times New Roman" w:hAnsi="Times New Roman"/>
        </w:rPr>
        <w:t xml:space="preserve">Campus Dining Services </w:t>
      </w:r>
      <w:r>
        <w:rPr>
          <w:rFonts w:ascii="Times New Roman" w:hAnsi="Times New Roman"/>
        </w:rPr>
        <w:tab/>
      </w:r>
      <w:r>
        <w:rPr>
          <w:rFonts w:ascii="Times New Roman" w:hAnsi="Times New Roman"/>
        </w:rPr>
        <w:tab/>
        <w:t>$17,530,000</w:t>
      </w:r>
    </w:p>
    <w:p w:rsidR="004709D3" w:rsidRDefault="004709D3" w:rsidP="00227C71">
      <w:pPr>
        <w:rPr>
          <w:rFonts w:ascii="Times New Roman" w:hAnsi="Times New Roman"/>
        </w:rPr>
      </w:pPr>
      <w:r>
        <w:rPr>
          <w:rFonts w:ascii="Times New Roman" w:hAnsi="Times New Roman"/>
        </w:rPr>
        <w:t>Bone Student Center Reserves</w:t>
      </w:r>
      <w:r>
        <w:rPr>
          <w:rFonts w:ascii="Times New Roman" w:hAnsi="Times New Roman"/>
        </w:rPr>
        <w:tab/>
        <w:t xml:space="preserve">    8,070,000</w:t>
      </w:r>
    </w:p>
    <w:p w:rsidR="004709D3" w:rsidRDefault="004709D3" w:rsidP="00227C71">
      <w:pPr>
        <w:rPr>
          <w:rFonts w:ascii="Times New Roman" w:hAnsi="Times New Roman"/>
        </w:rPr>
      </w:pPr>
      <w:r>
        <w:rPr>
          <w:rFonts w:ascii="Times New Roman" w:hAnsi="Times New Roman"/>
        </w:rPr>
        <w:t>New Revenue Bond Issue</w:t>
      </w:r>
      <w:r>
        <w:rPr>
          <w:rFonts w:ascii="Times New Roman" w:hAnsi="Times New Roman"/>
        </w:rPr>
        <w:tab/>
      </w:r>
      <w:r>
        <w:rPr>
          <w:rFonts w:ascii="Times New Roman" w:hAnsi="Times New Roman"/>
        </w:rPr>
        <w:tab/>
        <w:t xml:space="preserve">    6,000,000</w:t>
      </w:r>
      <w:r>
        <w:rPr>
          <w:rFonts w:ascii="Times New Roman" w:hAnsi="Times New Roman"/>
        </w:rPr>
        <w:tab/>
      </w:r>
    </w:p>
    <w:p w:rsidR="004709D3" w:rsidRDefault="004709D3" w:rsidP="00227C71">
      <w:pPr>
        <w:rPr>
          <w:rFonts w:ascii="Times New Roman" w:hAnsi="Times New Roman"/>
        </w:rPr>
      </w:pPr>
      <w:r>
        <w:rPr>
          <w:rFonts w:ascii="Times New Roman" w:hAnsi="Times New Roman"/>
        </w:rPr>
        <w:t>Private Contributions</w:t>
      </w:r>
      <w:r>
        <w:rPr>
          <w:rFonts w:ascii="Times New Roman" w:hAnsi="Times New Roman"/>
        </w:rPr>
        <w:tab/>
      </w:r>
      <w:r>
        <w:rPr>
          <w:rFonts w:ascii="Times New Roman" w:hAnsi="Times New Roman"/>
        </w:rPr>
        <w:tab/>
        <w:t xml:space="preserve">       900,000</w:t>
      </w:r>
    </w:p>
    <w:p w:rsidR="004709D3" w:rsidRDefault="004709D3" w:rsidP="00227C71">
      <w:pPr>
        <w:rPr>
          <w:rFonts w:ascii="Times New Roman" w:hAnsi="Times New Roman"/>
        </w:rPr>
      </w:pPr>
      <w:r>
        <w:rPr>
          <w:rFonts w:ascii="Times New Roman" w:hAnsi="Times New Roman"/>
        </w:rPr>
        <w:t xml:space="preserve">Dean of Students                           </w:t>
      </w:r>
      <w:r w:rsidRPr="00F364E0">
        <w:rPr>
          <w:rFonts w:ascii="Times New Roman" w:hAnsi="Times New Roman"/>
          <w:u w:val="single"/>
        </w:rPr>
        <w:t xml:space="preserve">          400,000</w:t>
      </w:r>
    </w:p>
    <w:p w:rsidR="004709D3" w:rsidRDefault="004709D3" w:rsidP="00227C71">
      <w:pPr>
        <w:rPr>
          <w:rFonts w:ascii="Times New Roman" w:hAnsi="Times New Roman"/>
        </w:rPr>
      </w:pPr>
    </w:p>
    <w:p w:rsidR="004709D3" w:rsidRPr="003F304A" w:rsidRDefault="004709D3" w:rsidP="00227C71">
      <w:pPr>
        <w:rPr>
          <w:rFonts w:ascii="Times New Roman" w:hAnsi="Times New Roman"/>
        </w:rPr>
      </w:pPr>
      <w:r>
        <w:rPr>
          <w:rFonts w:ascii="Times New Roman" w:hAnsi="Times New Roman"/>
        </w:rPr>
        <w:t xml:space="preserve">Total </w:t>
      </w:r>
      <w:r w:rsidR="003F304A">
        <w:rPr>
          <w:rFonts w:ascii="Times New Roman" w:hAnsi="Times New Roman"/>
        </w:rPr>
        <w:tab/>
      </w:r>
      <w:r w:rsidR="003F304A">
        <w:rPr>
          <w:rFonts w:ascii="Times New Roman" w:hAnsi="Times New Roman"/>
        </w:rPr>
        <w:tab/>
      </w:r>
      <w:r w:rsidR="003F304A">
        <w:rPr>
          <w:rFonts w:ascii="Times New Roman" w:hAnsi="Times New Roman"/>
        </w:rPr>
        <w:tab/>
      </w:r>
      <w:r w:rsidR="003F304A">
        <w:rPr>
          <w:rFonts w:ascii="Times New Roman" w:hAnsi="Times New Roman"/>
        </w:rPr>
        <w:tab/>
        <w:t>$32,900,000</w:t>
      </w:r>
    </w:p>
    <w:p w:rsidR="004709D3" w:rsidRDefault="004709D3" w:rsidP="00227C71">
      <w:pPr>
        <w:rPr>
          <w:rFonts w:ascii="Times New Roman" w:hAnsi="Times New Roman"/>
        </w:rPr>
      </w:pPr>
    </w:p>
    <w:p w:rsidR="00BA676D" w:rsidRPr="00BA676D" w:rsidRDefault="00F60619" w:rsidP="00227C71">
      <w:pPr>
        <w:rPr>
          <w:rFonts w:ascii="Times New Roman" w:hAnsi="Times New Roman"/>
        </w:rPr>
      </w:pPr>
      <w:r>
        <w:rPr>
          <w:rFonts w:ascii="Times New Roman" w:hAnsi="Times New Roman"/>
        </w:rPr>
        <w:t xml:space="preserve">The new revenue bonds will be issued in 2017 </w:t>
      </w:r>
      <w:r w:rsidR="00A2666F">
        <w:rPr>
          <w:rFonts w:ascii="Times New Roman" w:hAnsi="Times New Roman"/>
        </w:rPr>
        <w:t xml:space="preserve">or 2018 </w:t>
      </w:r>
      <w:r>
        <w:rPr>
          <w:rFonts w:ascii="Times New Roman" w:hAnsi="Times New Roman"/>
        </w:rPr>
        <w:t xml:space="preserve">following the time in which </w:t>
      </w:r>
      <w:r w:rsidR="00A2666F">
        <w:rPr>
          <w:rFonts w:ascii="Times New Roman" w:hAnsi="Times New Roman"/>
        </w:rPr>
        <w:t xml:space="preserve">current </w:t>
      </w:r>
      <w:r>
        <w:rPr>
          <w:rFonts w:ascii="Times New Roman" w:hAnsi="Times New Roman"/>
        </w:rPr>
        <w:t xml:space="preserve">bonds </w:t>
      </w:r>
      <w:r w:rsidR="00A2666F">
        <w:rPr>
          <w:rFonts w:ascii="Times New Roman" w:hAnsi="Times New Roman"/>
        </w:rPr>
        <w:t xml:space="preserve">related to the initial construction of Bone Student Center </w:t>
      </w:r>
      <w:r>
        <w:rPr>
          <w:rFonts w:ascii="Times New Roman" w:hAnsi="Times New Roman"/>
        </w:rPr>
        <w:t>are paid</w:t>
      </w:r>
      <w:r w:rsidR="00A2666F">
        <w:rPr>
          <w:rFonts w:ascii="Times New Roman" w:hAnsi="Times New Roman"/>
        </w:rPr>
        <w:t xml:space="preserve"> off</w:t>
      </w:r>
      <w:r>
        <w:rPr>
          <w:rFonts w:ascii="Times New Roman" w:hAnsi="Times New Roman"/>
        </w:rPr>
        <w:t>, resulting in a reduction in annual debt</w:t>
      </w:r>
      <w:r w:rsidR="00A259CC">
        <w:rPr>
          <w:rFonts w:ascii="Times New Roman" w:hAnsi="Times New Roman"/>
        </w:rPr>
        <w:t xml:space="preserve"> service</w:t>
      </w:r>
      <w:r>
        <w:rPr>
          <w:rFonts w:ascii="Times New Roman" w:hAnsi="Times New Roman"/>
        </w:rPr>
        <w:t xml:space="preserve"> requirements. </w:t>
      </w:r>
      <w:r w:rsidR="00D670B3">
        <w:rPr>
          <w:rFonts w:ascii="Times New Roman" w:hAnsi="Times New Roman"/>
        </w:rPr>
        <w:t xml:space="preserve"> Therefore, no new student fee or increase in student fees is needed to support this project.</w:t>
      </w:r>
      <w:r>
        <w:rPr>
          <w:rFonts w:ascii="Times New Roman" w:hAnsi="Times New Roman"/>
        </w:rPr>
        <w:t xml:space="preserve"> </w:t>
      </w:r>
      <w:r w:rsidR="0095674A">
        <w:rPr>
          <w:rFonts w:ascii="Times New Roman" w:hAnsi="Times New Roman"/>
        </w:rPr>
        <w:t xml:space="preserve">  </w:t>
      </w:r>
      <w:r w:rsidR="00BA676D">
        <w:rPr>
          <w:rFonts w:ascii="Times New Roman" w:hAnsi="Times New Roman"/>
        </w:rPr>
        <w:t xml:space="preserve"> </w:t>
      </w:r>
    </w:p>
    <w:p w:rsidR="00BA676D" w:rsidRDefault="00BA676D" w:rsidP="00227C71">
      <w:pPr>
        <w:pStyle w:val="Heading1"/>
        <w:rPr>
          <w:rFonts w:ascii="Times New Roman" w:hAnsi="Times New Roman"/>
          <w:b/>
          <w:sz w:val="20"/>
          <w:szCs w:val="20"/>
        </w:rPr>
      </w:pPr>
    </w:p>
    <w:p w:rsidR="00227C71" w:rsidRPr="00A215E4" w:rsidRDefault="00A40429" w:rsidP="00227C71">
      <w:pPr>
        <w:pStyle w:val="Heading1"/>
        <w:rPr>
          <w:rFonts w:ascii="Times New Roman" w:hAnsi="Times New Roman"/>
          <w:b/>
          <w:sz w:val="20"/>
          <w:szCs w:val="20"/>
        </w:rPr>
      </w:pPr>
      <w:r w:rsidRPr="00A215E4">
        <w:rPr>
          <w:rFonts w:ascii="Times New Roman" w:hAnsi="Times New Roman"/>
          <w:b/>
          <w:sz w:val="20"/>
          <w:szCs w:val="20"/>
        </w:rPr>
        <w:t xml:space="preserve">Resource </w:t>
      </w:r>
      <w:r w:rsidR="00CB4A53" w:rsidRPr="00A215E4">
        <w:rPr>
          <w:rFonts w:ascii="Times New Roman" w:hAnsi="Times New Roman"/>
          <w:b/>
          <w:sz w:val="20"/>
          <w:szCs w:val="20"/>
        </w:rPr>
        <w:t>Requirements</w:t>
      </w:r>
    </w:p>
    <w:p w:rsidR="00A215E4" w:rsidRPr="00A215E4" w:rsidRDefault="00A215E4" w:rsidP="00055A9A">
      <w:pPr>
        <w:rPr>
          <w:rFonts w:ascii="Times New Roman" w:hAnsi="Times New Roman"/>
        </w:rPr>
      </w:pPr>
    </w:p>
    <w:p w:rsidR="00055A9A" w:rsidRDefault="00012C00" w:rsidP="00055A9A">
      <w:pPr>
        <w:rPr>
          <w:rFonts w:ascii="Times New Roman" w:hAnsi="Times New Roman"/>
        </w:rPr>
      </w:pPr>
      <w:r>
        <w:rPr>
          <w:rFonts w:ascii="Times New Roman" w:hAnsi="Times New Roman"/>
        </w:rPr>
        <w:t>New Construction</w:t>
      </w:r>
      <w:r>
        <w:rPr>
          <w:rFonts w:ascii="Times New Roman" w:hAnsi="Times New Roman"/>
        </w:rPr>
        <w:tab/>
      </w:r>
      <w:r>
        <w:rPr>
          <w:rFonts w:ascii="Times New Roman" w:hAnsi="Times New Roman"/>
        </w:rPr>
        <w:tab/>
      </w:r>
      <w:proofErr w:type="gramStart"/>
      <w:r>
        <w:rPr>
          <w:rFonts w:ascii="Times New Roman" w:hAnsi="Times New Roman"/>
        </w:rPr>
        <w:t>$  9,0</w:t>
      </w:r>
      <w:r w:rsidR="00BC52F5">
        <w:rPr>
          <w:rFonts w:ascii="Times New Roman" w:hAnsi="Times New Roman"/>
        </w:rPr>
        <w:t>00,000</w:t>
      </w:r>
      <w:proofErr w:type="gramEnd"/>
    </w:p>
    <w:p w:rsidR="00BC52F5" w:rsidRDefault="00012C00" w:rsidP="00055A9A">
      <w:pPr>
        <w:rPr>
          <w:rFonts w:ascii="Times New Roman" w:hAnsi="Times New Roman"/>
        </w:rPr>
      </w:pPr>
      <w:r>
        <w:rPr>
          <w:rFonts w:ascii="Times New Roman" w:hAnsi="Times New Roman"/>
        </w:rPr>
        <w:t>Renovation</w:t>
      </w:r>
      <w:r>
        <w:rPr>
          <w:rFonts w:ascii="Times New Roman" w:hAnsi="Times New Roman"/>
        </w:rPr>
        <w:tab/>
      </w:r>
      <w:r>
        <w:rPr>
          <w:rFonts w:ascii="Times New Roman" w:hAnsi="Times New Roman"/>
        </w:rPr>
        <w:tab/>
      </w:r>
      <w:r>
        <w:rPr>
          <w:rFonts w:ascii="Times New Roman" w:hAnsi="Times New Roman"/>
        </w:rPr>
        <w:tab/>
      </w:r>
      <w:r w:rsidR="00F05782">
        <w:rPr>
          <w:rFonts w:ascii="Times New Roman" w:hAnsi="Times New Roman"/>
        </w:rPr>
        <w:t xml:space="preserve">  </w:t>
      </w:r>
      <w:r>
        <w:rPr>
          <w:rFonts w:ascii="Times New Roman" w:hAnsi="Times New Roman"/>
        </w:rPr>
        <w:t>12,0</w:t>
      </w:r>
      <w:r w:rsidR="00BC52F5">
        <w:rPr>
          <w:rFonts w:ascii="Times New Roman" w:hAnsi="Times New Roman"/>
        </w:rPr>
        <w:t>00,000</w:t>
      </w:r>
    </w:p>
    <w:p w:rsidR="00BC52F5" w:rsidRDefault="00BC52F5" w:rsidP="00055A9A">
      <w:pPr>
        <w:rPr>
          <w:rFonts w:ascii="Times New Roman" w:hAnsi="Times New Roman"/>
        </w:rPr>
      </w:pPr>
      <w:r>
        <w:rPr>
          <w:rFonts w:ascii="Times New Roman" w:hAnsi="Times New Roman"/>
        </w:rPr>
        <w:t>Kitchen Equipment</w:t>
      </w:r>
      <w:r>
        <w:rPr>
          <w:rFonts w:ascii="Times New Roman" w:hAnsi="Times New Roman"/>
        </w:rPr>
        <w:tab/>
      </w:r>
      <w:r>
        <w:rPr>
          <w:rFonts w:ascii="Times New Roman" w:hAnsi="Times New Roman"/>
        </w:rPr>
        <w:tab/>
      </w:r>
      <w:r w:rsidR="00F05782">
        <w:rPr>
          <w:rFonts w:ascii="Times New Roman" w:hAnsi="Times New Roman"/>
        </w:rPr>
        <w:t xml:space="preserve">  </w:t>
      </w:r>
      <w:r>
        <w:rPr>
          <w:rFonts w:ascii="Times New Roman" w:hAnsi="Times New Roman"/>
        </w:rPr>
        <w:t xml:space="preserve">  3,500,000</w:t>
      </w:r>
    </w:p>
    <w:p w:rsidR="00BC52F5" w:rsidRDefault="00BC52F5" w:rsidP="00055A9A">
      <w:pPr>
        <w:rPr>
          <w:rFonts w:ascii="Times New Roman" w:hAnsi="Times New Roman"/>
        </w:rPr>
      </w:pPr>
      <w:r>
        <w:rPr>
          <w:rFonts w:ascii="Times New Roman" w:hAnsi="Times New Roman"/>
        </w:rPr>
        <w:t>Furnishings</w:t>
      </w:r>
      <w:r>
        <w:rPr>
          <w:rFonts w:ascii="Times New Roman" w:hAnsi="Times New Roman"/>
        </w:rPr>
        <w:tab/>
      </w:r>
      <w:r>
        <w:rPr>
          <w:rFonts w:ascii="Times New Roman" w:hAnsi="Times New Roman"/>
        </w:rPr>
        <w:tab/>
      </w:r>
      <w:r>
        <w:rPr>
          <w:rFonts w:ascii="Times New Roman" w:hAnsi="Times New Roman"/>
        </w:rPr>
        <w:tab/>
      </w:r>
      <w:r w:rsidR="00F05782">
        <w:rPr>
          <w:rFonts w:ascii="Times New Roman" w:hAnsi="Times New Roman"/>
        </w:rPr>
        <w:t xml:space="preserve">  </w:t>
      </w:r>
      <w:r>
        <w:rPr>
          <w:rFonts w:ascii="Times New Roman" w:hAnsi="Times New Roman"/>
        </w:rPr>
        <w:t xml:space="preserve">  1,</w:t>
      </w:r>
      <w:r w:rsidR="00BA676D">
        <w:rPr>
          <w:rFonts w:ascii="Times New Roman" w:hAnsi="Times New Roman"/>
        </w:rPr>
        <w:t>9</w:t>
      </w:r>
      <w:r>
        <w:rPr>
          <w:rFonts w:ascii="Times New Roman" w:hAnsi="Times New Roman"/>
        </w:rPr>
        <w:t>00,000</w:t>
      </w:r>
    </w:p>
    <w:p w:rsidR="00BE7988" w:rsidRDefault="00BE7988" w:rsidP="00055A9A">
      <w:pPr>
        <w:rPr>
          <w:rFonts w:ascii="Times New Roman" w:hAnsi="Times New Roman"/>
        </w:rPr>
      </w:pPr>
      <w:r>
        <w:rPr>
          <w:rFonts w:ascii="Times New Roman" w:hAnsi="Times New Roman"/>
        </w:rPr>
        <w:t>Contingency</w:t>
      </w:r>
      <w:r>
        <w:rPr>
          <w:rFonts w:ascii="Times New Roman" w:hAnsi="Times New Roman"/>
        </w:rPr>
        <w:tab/>
      </w:r>
      <w:r>
        <w:rPr>
          <w:rFonts w:ascii="Times New Roman" w:hAnsi="Times New Roman"/>
        </w:rPr>
        <w:tab/>
      </w:r>
      <w:r>
        <w:rPr>
          <w:rFonts w:ascii="Times New Roman" w:hAnsi="Times New Roman"/>
        </w:rPr>
        <w:tab/>
      </w:r>
      <w:r w:rsidR="00F05782">
        <w:rPr>
          <w:rFonts w:ascii="Times New Roman" w:hAnsi="Times New Roman"/>
        </w:rPr>
        <w:t xml:space="preserve">  </w:t>
      </w:r>
      <w:r>
        <w:rPr>
          <w:rFonts w:ascii="Times New Roman" w:hAnsi="Times New Roman"/>
        </w:rPr>
        <w:t xml:space="preserve">  3,5</w:t>
      </w:r>
      <w:r w:rsidR="00A2666F">
        <w:rPr>
          <w:rFonts w:ascii="Times New Roman" w:hAnsi="Times New Roman"/>
        </w:rPr>
        <w:t>5</w:t>
      </w:r>
      <w:r>
        <w:rPr>
          <w:rFonts w:ascii="Times New Roman" w:hAnsi="Times New Roman"/>
        </w:rPr>
        <w:t>0,000</w:t>
      </w:r>
    </w:p>
    <w:p w:rsidR="00BE7988" w:rsidRDefault="00BE7988" w:rsidP="00055A9A">
      <w:pPr>
        <w:rPr>
          <w:rFonts w:ascii="Times New Roman" w:hAnsi="Times New Roman"/>
        </w:rPr>
      </w:pPr>
      <w:r>
        <w:rPr>
          <w:rFonts w:ascii="Times New Roman" w:hAnsi="Times New Roman"/>
        </w:rPr>
        <w:t>Design Fees</w:t>
      </w:r>
      <w:r>
        <w:rPr>
          <w:rFonts w:ascii="Times New Roman" w:hAnsi="Times New Roman"/>
        </w:rPr>
        <w:tab/>
      </w:r>
      <w:r>
        <w:rPr>
          <w:rFonts w:ascii="Times New Roman" w:hAnsi="Times New Roman"/>
        </w:rPr>
        <w:tab/>
      </w:r>
      <w:r>
        <w:rPr>
          <w:rFonts w:ascii="Times New Roman" w:hAnsi="Times New Roman"/>
        </w:rPr>
        <w:tab/>
      </w:r>
      <w:r w:rsidR="00F05782">
        <w:rPr>
          <w:rFonts w:ascii="Times New Roman" w:hAnsi="Times New Roman"/>
          <w:u w:val="single"/>
        </w:rPr>
        <w:t xml:space="preserve">  </w:t>
      </w:r>
      <w:r w:rsidR="00012C00">
        <w:rPr>
          <w:rFonts w:ascii="Times New Roman" w:hAnsi="Times New Roman"/>
          <w:u w:val="single"/>
        </w:rPr>
        <w:t xml:space="preserve">  2,</w:t>
      </w:r>
      <w:r w:rsidR="00501319">
        <w:rPr>
          <w:rFonts w:ascii="Times New Roman" w:hAnsi="Times New Roman"/>
          <w:u w:val="single"/>
        </w:rPr>
        <w:t>95</w:t>
      </w:r>
      <w:r w:rsidRPr="00BE7988">
        <w:rPr>
          <w:rFonts w:ascii="Times New Roman" w:hAnsi="Times New Roman"/>
          <w:u w:val="single"/>
        </w:rPr>
        <w:t>0,000</w:t>
      </w:r>
    </w:p>
    <w:p w:rsidR="00BC52F5" w:rsidRDefault="00BC52F5" w:rsidP="00055A9A">
      <w:pPr>
        <w:rPr>
          <w:rFonts w:ascii="Times New Roman" w:hAnsi="Times New Roman"/>
        </w:rPr>
      </w:pPr>
    </w:p>
    <w:p w:rsidR="00BC52F5" w:rsidRPr="00A215E4" w:rsidRDefault="00012C00" w:rsidP="00055A9A">
      <w:pPr>
        <w:rPr>
          <w:rFonts w:ascii="Times New Roman" w:hAnsi="Times New Roman"/>
        </w:rPr>
      </w:pPr>
      <w:r>
        <w:rPr>
          <w:rFonts w:ascii="Times New Roman" w:hAnsi="Times New Roman"/>
        </w:rPr>
        <w:t>Total Project</w:t>
      </w:r>
      <w:r>
        <w:rPr>
          <w:rFonts w:ascii="Times New Roman" w:hAnsi="Times New Roman"/>
        </w:rPr>
        <w:tab/>
      </w:r>
      <w:r>
        <w:rPr>
          <w:rFonts w:ascii="Times New Roman" w:hAnsi="Times New Roman"/>
        </w:rPr>
        <w:tab/>
      </w:r>
      <w:r>
        <w:rPr>
          <w:rFonts w:ascii="Times New Roman" w:hAnsi="Times New Roman"/>
        </w:rPr>
        <w:tab/>
        <w:t>$32,</w:t>
      </w:r>
      <w:r w:rsidR="00A2666F">
        <w:rPr>
          <w:rFonts w:ascii="Times New Roman" w:hAnsi="Times New Roman"/>
        </w:rPr>
        <w:t>900</w:t>
      </w:r>
      <w:r w:rsidR="00BC52F5">
        <w:rPr>
          <w:rFonts w:ascii="Times New Roman" w:hAnsi="Times New Roman"/>
        </w:rPr>
        <w:t>,000</w:t>
      </w:r>
    </w:p>
    <w:p w:rsidR="001B4C4C" w:rsidRDefault="001B4C4C" w:rsidP="00055A9A">
      <w:pPr>
        <w:rPr>
          <w:rFonts w:ascii="Times New Roman" w:hAnsi="Times New Roman"/>
        </w:rPr>
      </w:pPr>
    </w:p>
    <w:p w:rsidR="00673C75" w:rsidRPr="00A215E4" w:rsidRDefault="00673C75" w:rsidP="00055A9A">
      <w:pPr>
        <w:rPr>
          <w:rFonts w:ascii="Times New Roman" w:hAnsi="Times New Roman"/>
        </w:rPr>
      </w:pPr>
    </w:p>
    <w:p w:rsidR="005F7393" w:rsidRPr="009245AD" w:rsidRDefault="001B4C4C" w:rsidP="00055A9A">
      <w:pPr>
        <w:rPr>
          <w:rFonts w:ascii="Times New Roman" w:hAnsi="Times New Roman"/>
        </w:rPr>
      </w:pPr>
      <w:r w:rsidRPr="009245AD">
        <w:rPr>
          <w:rFonts w:ascii="Times New Roman" w:hAnsi="Times New Roman"/>
        </w:rPr>
        <w:t>Source</w:t>
      </w:r>
      <w:r w:rsidR="00424C5C" w:rsidRPr="009245AD">
        <w:rPr>
          <w:rFonts w:ascii="Times New Roman" w:hAnsi="Times New Roman"/>
        </w:rPr>
        <w:t xml:space="preserve"> of Funding:</w:t>
      </w:r>
      <w:r w:rsidR="00424C5C" w:rsidRPr="009245AD">
        <w:rPr>
          <w:rFonts w:ascii="Times New Roman" w:hAnsi="Times New Roman"/>
        </w:rPr>
        <w:tab/>
      </w:r>
      <w:r w:rsidR="009245AD" w:rsidRPr="009245AD">
        <w:rPr>
          <w:rFonts w:ascii="Times New Roman" w:hAnsi="Times New Roman"/>
        </w:rPr>
        <w:t>Bond Revenue (Campus Dining Reserves, Bone Student Center Reserves and New Bond Issue)</w:t>
      </w:r>
      <w:r w:rsidR="00CE5E1F">
        <w:rPr>
          <w:rFonts w:ascii="Times New Roman" w:hAnsi="Times New Roman"/>
        </w:rPr>
        <w:t xml:space="preserve">, Dean of Students </w:t>
      </w:r>
      <w:r w:rsidR="003F304A">
        <w:rPr>
          <w:rFonts w:ascii="Times New Roman" w:hAnsi="Times New Roman"/>
        </w:rPr>
        <w:t xml:space="preserve">Operating </w:t>
      </w:r>
      <w:r w:rsidR="00CE5E1F">
        <w:rPr>
          <w:rFonts w:ascii="Times New Roman" w:hAnsi="Times New Roman"/>
        </w:rPr>
        <w:t>and Private Contributions</w:t>
      </w:r>
    </w:p>
    <w:p w:rsidR="006B1B83" w:rsidRDefault="006B1B83" w:rsidP="00055A9A">
      <w:pPr>
        <w:rPr>
          <w:rFonts w:ascii="Times New Roman" w:hAnsi="Times New Roman"/>
        </w:rPr>
      </w:pPr>
    </w:p>
    <w:p w:rsidR="006B1B83" w:rsidRPr="00A215E4" w:rsidRDefault="006B1B83" w:rsidP="00055A9A">
      <w:pPr>
        <w:rPr>
          <w:rFonts w:ascii="Times New Roman" w:hAnsi="Times New Roman"/>
        </w:rPr>
      </w:pPr>
    </w:p>
    <w:sectPr w:rsidR="006B1B83" w:rsidRPr="00A215E4" w:rsidSect="005E1332">
      <w:headerReference w:type="even" r:id="rId8"/>
      <w:headerReference w:type="default" r:id="rId9"/>
      <w:footerReference w:type="even" r:id="rId10"/>
      <w:footerReference w:type="default" r:id="rId11"/>
      <w:headerReference w:type="first" r:id="rId12"/>
      <w:footerReference w:type="first" r:id="rId13"/>
      <w:pgSz w:w="12240" w:h="15840"/>
      <w:pgMar w:top="1296" w:right="1800" w:bottom="1296"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81" w:rsidRDefault="00AA6781">
      <w:r>
        <w:separator/>
      </w:r>
    </w:p>
  </w:endnote>
  <w:endnote w:type="continuationSeparator" w:id="0">
    <w:p w:rsidR="00AA6781" w:rsidRDefault="00AA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48" w:rsidRDefault="00E04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48" w:rsidRDefault="00AA6781" w:rsidP="00E04248">
    <w:pPr>
      <w:pStyle w:val="Footer"/>
    </w:pPr>
    <w:r w:rsidRPr="00F364E0">
      <w:rPr>
        <w:u w:val="single"/>
      </w:rPr>
      <w:t>Board of Trustees Illinois State University – Bone Student Center Revitalization Project</w:t>
    </w:r>
    <w:r w:rsidR="00E04248">
      <w:rPr>
        <w:u w:val="single"/>
      </w:rPr>
      <w:tab/>
    </w:r>
    <w:r w:rsidR="00E04248" w:rsidRPr="00E04248">
      <w:rPr>
        <w:u w:val="single"/>
      </w:rPr>
      <w:t xml:space="preserve">       Page </w:t>
    </w:r>
    <w:sdt>
      <w:sdtPr>
        <w:rPr>
          <w:u w:val="single"/>
        </w:rPr>
        <w:id w:val="-547769029"/>
        <w:docPartObj>
          <w:docPartGallery w:val="Page Numbers (Bottom of Page)"/>
          <w:docPartUnique/>
        </w:docPartObj>
      </w:sdtPr>
      <w:sdtEndPr>
        <w:rPr>
          <w:noProof/>
        </w:rPr>
      </w:sdtEndPr>
      <w:sdtContent>
        <w:r w:rsidR="00E04248" w:rsidRPr="00E04248">
          <w:rPr>
            <w:u w:val="single"/>
          </w:rPr>
          <w:fldChar w:fldCharType="begin"/>
        </w:r>
        <w:r w:rsidR="00E04248" w:rsidRPr="00E04248">
          <w:rPr>
            <w:u w:val="single"/>
          </w:rPr>
          <w:instrText xml:space="preserve"> PAGE   \* MERGEFORMAT </w:instrText>
        </w:r>
        <w:r w:rsidR="00E04248" w:rsidRPr="00E04248">
          <w:rPr>
            <w:u w:val="single"/>
          </w:rPr>
          <w:fldChar w:fldCharType="separate"/>
        </w:r>
        <w:r w:rsidR="002D18FF">
          <w:rPr>
            <w:noProof/>
            <w:u w:val="single"/>
          </w:rPr>
          <w:t>5</w:t>
        </w:r>
        <w:r w:rsidR="00E04248" w:rsidRPr="00E04248">
          <w:rPr>
            <w:noProof/>
            <w:u w:val="single"/>
          </w:rPr>
          <w:fldChar w:fldCharType="end"/>
        </w:r>
      </w:sdtContent>
    </w:sdt>
  </w:p>
  <w:p w:rsidR="00AA6781" w:rsidRPr="00F364E0" w:rsidRDefault="00AA6781" w:rsidP="004E6F27">
    <w:pPr>
      <w:pStyle w:val="Footer"/>
      <w:rPr>
        <w:u w:val="single"/>
      </w:rPr>
    </w:pPr>
    <w:r w:rsidRPr="00F364E0">
      <w:rPr>
        <w:u w:val="single"/>
      </w:rPr>
      <w:t>Phase I, Construction</w:t>
    </w:r>
  </w:p>
  <w:p w:rsidR="00AA6781" w:rsidRDefault="00AA6781" w:rsidP="004E6F27">
    <w:pPr>
      <w:pStyle w:val="Footer"/>
    </w:pPr>
    <w:r>
      <w:t>05/08/2015</w:t>
    </w:r>
    <w:r>
      <w:tab/>
    </w:r>
    <w:r>
      <w:tab/>
    </w:r>
  </w:p>
  <w:p w:rsidR="00AA6781" w:rsidRPr="00677C71" w:rsidRDefault="00AA6781" w:rsidP="00677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48" w:rsidRDefault="00E04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81" w:rsidRDefault="00AA6781">
      <w:r>
        <w:separator/>
      </w:r>
    </w:p>
  </w:footnote>
  <w:footnote w:type="continuationSeparator" w:id="0">
    <w:p w:rsidR="00AA6781" w:rsidRDefault="00AA6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48" w:rsidRDefault="00E04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48" w:rsidRDefault="00E04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48" w:rsidRDefault="00E04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E05"/>
    <w:multiLevelType w:val="hybridMultilevel"/>
    <w:tmpl w:val="4084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B6C0B"/>
    <w:multiLevelType w:val="hybridMultilevel"/>
    <w:tmpl w:val="E2D6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72018"/>
    <w:multiLevelType w:val="hybridMultilevel"/>
    <w:tmpl w:val="4320A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55D1B"/>
    <w:multiLevelType w:val="hybridMultilevel"/>
    <w:tmpl w:val="06AE928C"/>
    <w:lvl w:ilvl="0" w:tplc="69F67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2431EC"/>
    <w:multiLevelType w:val="hybridMultilevel"/>
    <w:tmpl w:val="4084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C6F98"/>
    <w:multiLevelType w:val="hybridMultilevel"/>
    <w:tmpl w:val="77E8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12C00"/>
    <w:rsid w:val="00020E9C"/>
    <w:rsid w:val="00032CDC"/>
    <w:rsid w:val="00052DC9"/>
    <w:rsid w:val="00055A9A"/>
    <w:rsid w:val="00056A2E"/>
    <w:rsid w:val="000757E5"/>
    <w:rsid w:val="00077E33"/>
    <w:rsid w:val="00087F6B"/>
    <w:rsid w:val="00092406"/>
    <w:rsid w:val="000A39EC"/>
    <w:rsid w:val="000A5AAC"/>
    <w:rsid w:val="000B26AD"/>
    <w:rsid w:val="000B5925"/>
    <w:rsid w:val="000F30C7"/>
    <w:rsid w:val="00101A74"/>
    <w:rsid w:val="00106DB3"/>
    <w:rsid w:val="0010701E"/>
    <w:rsid w:val="00120359"/>
    <w:rsid w:val="0012615D"/>
    <w:rsid w:val="001301BD"/>
    <w:rsid w:val="00134AC5"/>
    <w:rsid w:val="00134B67"/>
    <w:rsid w:val="00143C22"/>
    <w:rsid w:val="001534BF"/>
    <w:rsid w:val="0015435B"/>
    <w:rsid w:val="00154F56"/>
    <w:rsid w:val="00160C44"/>
    <w:rsid w:val="00164E7E"/>
    <w:rsid w:val="00173E09"/>
    <w:rsid w:val="0017596F"/>
    <w:rsid w:val="00176A04"/>
    <w:rsid w:val="00187C8B"/>
    <w:rsid w:val="00190F16"/>
    <w:rsid w:val="001A2063"/>
    <w:rsid w:val="001B4C4C"/>
    <w:rsid w:val="001C3D86"/>
    <w:rsid w:val="001D307B"/>
    <w:rsid w:val="001D419A"/>
    <w:rsid w:val="001D78B6"/>
    <w:rsid w:val="001E5E2A"/>
    <w:rsid w:val="0020016B"/>
    <w:rsid w:val="00213552"/>
    <w:rsid w:val="00216DD6"/>
    <w:rsid w:val="0022296C"/>
    <w:rsid w:val="00223308"/>
    <w:rsid w:val="002243C5"/>
    <w:rsid w:val="00227C71"/>
    <w:rsid w:val="00227CAD"/>
    <w:rsid w:val="00236795"/>
    <w:rsid w:val="002376B0"/>
    <w:rsid w:val="00247A81"/>
    <w:rsid w:val="002525CA"/>
    <w:rsid w:val="0025591C"/>
    <w:rsid w:val="00267930"/>
    <w:rsid w:val="00271D60"/>
    <w:rsid w:val="00276DDF"/>
    <w:rsid w:val="00283764"/>
    <w:rsid w:val="00283E32"/>
    <w:rsid w:val="0029682E"/>
    <w:rsid w:val="002975AA"/>
    <w:rsid w:val="002A3D57"/>
    <w:rsid w:val="002A4866"/>
    <w:rsid w:val="002A74B8"/>
    <w:rsid w:val="002B3FF4"/>
    <w:rsid w:val="002B6B43"/>
    <w:rsid w:val="002C588A"/>
    <w:rsid w:val="002C7855"/>
    <w:rsid w:val="002D18FF"/>
    <w:rsid w:val="002D4371"/>
    <w:rsid w:val="002D5EA1"/>
    <w:rsid w:val="002F2AFB"/>
    <w:rsid w:val="00302A35"/>
    <w:rsid w:val="0030405D"/>
    <w:rsid w:val="00306C34"/>
    <w:rsid w:val="00311D66"/>
    <w:rsid w:val="003144A8"/>
    <w:rsid w:val="00316CB5"/>
    <w:rsid w:val="00320F67"/>
    <w:rsid w:val="00321293"/>
    <w:rsid w:val="0032184E"/>
    <w:rsid w:val="00326900"/>
    <w:rsid w:val="00331935"/>
    <w:rsid w:val="003365C0"/>
    <w:rsid w:val="003530A7"/>
    <w:rsid w:val="003553C3"/>
    <w:rsid w:val="003607B0"/>
    <w:rsid w:val="00371B58"/>
    <w:rsid w:val="00373009"/>
    <w:rsid w:val="0037345E"/>
    <w:rsid w:val="00383D6B"/>
    <w:rsid w:val="0038510C"/>
    <w:rsid w:val="003903F5"/>
    <w:rsid w:val="00394091"/>
    <w:rsid w:val="00394AB6"/>
    <w:rsid w:val="003954FE"/>
    <w:rsid w:val="003962BB"/>
    <w:rsid w:val="003A0D7D"/>
    <w:rsid w:val="003A10C0"/>
    <w:rsid w:val="003A51EF"/>
    <w:rsid w:val="003A5D7B"/>
    <w:rsid w:val="003B0B9E"/>
    <w:rsid w:val="003C76AE"/>
    <w:rsid w:val="003D1E6B"/>
    <w:rsid w:val="003E7816"/>
    <w:rsid w:val="003F0CA3"/>
    <w:rsid w:val="003F2752"/>
    <w:rsid w:val="003F304A"/>
    <w:rsid w:val="00400748"/>
    <w:rsid w:val="00407274"/>
    <w:rsid w:val="00413834"/>
    <w:rsid w:val="00424C5C"/>
    <w:rsid w:val="00425F55"/>
    <w:rsid w:val="00427D47"/>
    <w:rsid w:val="00430B2A"/>
    <w:rsid w:val="004332C8"/>
    <w:rsid w:val="00434BAF"/>
    <w:rsid w:val="0044407B"/>
    <w:rsid w:val="004472DF"/>
    <w:rsid w:val="00452ADF"/>
    <w:rsid w:val="004647A5"/>
    <w:rsid w:val="00465D76"/>
    <w:rsid w:val="00466DB4"/>
    <w:rsid w:val="004708A6"/>
    <w:rsid w:val="004709D3"/>
    <w:rsid w:val="00470A40"/>
    <w:rsid w:val="00474FF0"/>
    <w:rsid w:val="004800DF"/>
    <w:rsid w:val="0048508A"/>
    <w:rsid w:val="00491F09"/>
    <w:rsid w:val="0049622B"/>
    <w:rsid w:val="00497C8E"/>
    <w:rsid w:val="004C22BE"/>
    <w:rsid w:val="004C2841"/>
    <w:rsid w:val="004C6228"/>
    <w:rsid w:val="004C6492"/>
    <w:rsid w:val="004D1B70"/>
    <w:rsid w:val="004D739B"/>
    <w:rsid w:val="004E2A71"/>
    <w:rsid w:val="004E6F27"/>
    <w:rsid w:val="004F31F5"/>
    <w:rsid w:val="00501319"/>
    <w:rsid w:val="00505E09"/>
    <w:rsid w:val="00521331"/>
    <w:rsid w:val="00522981"/>
    <w:rsid w:val="00531950"/>
    <w:rsid w:val="00531E67"/>
    <w:rsid w:val="005354ED"/>
    <w:rsid w:val="00555D55"/>
    <w:rsid w:val="0055609A"/>
    <w:rsid w:val="00566F28"/>
    <w:rsid w:val="00571F0D"/>
    <w:rsid w:val="0057308B"/>
    <w:rsid w:val="00573453"/>
    <w:rsid w:val="00590A6A"/>
    <w:rsid w:val="00594FF9"/>
    <w:rsid w:val="005A2593"/>
    <w:rsid w:val="005C1A72"/>
    <w:rsid w:val="005D2581"/>
    <w:rsid w:val="005D25C2"/>
    <w:rsid w:val="005D3D43"/>
    <w:rsid w:val="005E1332"/>
    <w:rsid w:val="005E3A35"/>
    <w:rsid w:val="005E50C6"/>
    <w:rsid w:val="005F6DD8"/>
    <w:rsid w:val="005F7393"/>
    <w:rsid w:val="006072A3"/>
    <w:rsid w:val="00623AF1"/>
    <w:rsid w:val="00633489"/>
    <w:rsid w:val="00634CE8"/>
    <w:rsid w:val="00636C34"/>
    <w:rsid w:val="006471CB"/>
    <w:rsid w:val="00665B8B"/>
    <w:rsid w:val="006723A5"/>
    <w:rsid w:val="00673C75"/>
    <w:rsid w:val="00675E6A"/>
    <w:rsid w:val="00676D6F"/>
    <w:rsid w:val="00677C71"/>
    <w:rsid w:val="0068011C"/>
    <w:rsid w:val="00681279"/>
    <w:rsid w:val="00692AAD"/>
    <w:rsid w:val="006A41A3"/>
    <w:rsid w:val="006A523C"/>
    <w:rsid w:val="006B1B83"/>
    <w:rsid w:val="006C103D"/>
    <w:rsid w:val="006C5761"/>
    <w:rsid w:val="006C5F24"/>
    <w:rsid w:val="006D03CF"/>
    <w:rsid w:val="006D4486"/>
    <w:rsid w:val="006F3C5D"/>
    <w:rsid w:val="006F5244"/>
    <w:rsid w:val="00701827"/>
    <w:rsid w:val="00701E1A"/>
    <w:rsid w:val="0070388E"/>
    <w:rsid w:val="0070621B"/>
    <w:rsid w:val="00711546"/>
    <w:rsid w:val="00721780"/>
    <w:rsid w:val="007257C6"/>
    <w:rsid w:val="00725E1F"/>
    <w:rsid w:val="00733901"/>
    <w:rsid w:val="00736D6B"/>
    <w:rsid w:val="00741401"/>
    <w:rsid w:val="007521F9"/>
    <w:rsid w:val="0075260D"/>
    <w:rsid w:val="00753BD7"/>
    <w:rsid w:val="00754F44"/>
    <w:rsid w:val="00767560"/>
    <w:rsid w:val="007722FE"/>
    <w:rsid w:val="00774453"/>
    <w:rsid w:val="0078098F"/>
    <w:rsid w:val="00782F59"/>
    <w:rsid w:val="00785DC2"/>
    <w:rsid w:val="00792D7B"/>
    <w:rsid w:val="007945BF"/>
    <w:rsid w:val="00795495"/>
    <w:rsid w:val="007A022E"/>
    <w:rsid w:val="007A45B5"/>
    <w:rsid w:val="007A7501"/>
    <w:rsid w:val="007B10ED"/>
    <w:rsid w:val="007C3A0B"/>
    <w:rsid w:val="007D6712"/>
    <w:rsid w:val="007E79E6"/>
    <w:rsid w:val="007F18AB"/>
    <w:rsid w:val="0084072E"/>
    <w:rsid w:val="008436E2"/>
    <w:rsid w:val="00855B57"/>
    <w:rsid w:val="00861783"/>
    <w:rsid w:val="0086486B"/>
    <w:rsid w:val="008649CC"/>
    <w:rsid w:val="0087007C"/>
    <w:rsid w:val="00873964"/>
    <w:rsid w:val="00877C54"/>
    <w:rsid w:val="0088056F"/>
    <w:rsid w:val="00880A08"/>
    <w:rsid w:val="0088238E"/>
    <w:rsid w:val="00882B0B"/>
    <w:rsid w:val="00892975"/>
    <w:rsid w:val="00896A04"/>
    <w:rsid w:val="008A5105"/>
    <w:rsid w:val="008A696C"/>
    <w:rsid w:val="008A7212"/>
    <w:rsid w:val="008B786B"/>
    <w:rsid w:val="008C78C4"/>
    <w:rsid w:val="008E1694"/>
    <w:rsid w:val="008E4C5B"/>
    <w:rsid w:val="008F361C"/>
    <w:rsid w:val="008F36FB"/>
    <w:rsid w:val="009004DF"/>
    <w:rsid w:val="00901E85"/>
    <w:rsid w:val="00902078"/>
    <w:rsid w:val="00910254"/>
    <w:rsid w:val="009245AD"/>
    <w:rsid w:val="00930F4A"/>
    <w:rsid w:val="009339FD"/>
    <w:rsid w:val="00941C20"/>
    <w:rsid w:val="00950CDF"/>
    <w:rsid w:val="0095674A"/>
    <w:rsid w:val="00967C39"/>
    <w:rsid w:val="00981A35"/>
    <w:rsid w:val="00986762"/>
    <w:rsid w:val="009913F1"/>
    <w:rsid w:val="00995DF7"/>
    <w:rsid w:val="009974CB"/>
    <w:rsid w:val="009A234D"/>
    <w:rsid w:val="009A308C"/>
    <w:rsid w:val="009A37C5"/>
    <w:rsid w:val="009B6403"/>
    <w:rsid w:val="009B6908"/>
    <w:rsid w:val="009B7610"/>
    <w:rsid w:val="009C6982"/>
    <w:rsid w:val="009D5CA5"/>
    <w:rsid w:val="009D6627"/>
    <w:rsid w:val="009E3C8F"/>
    <w:rsid w:val="009E75DC"/>
    <w:rsid w:val="009F04B0"/>
    <w:rsid w:val="00A0281E"/>
    <w:rsid w:val="00A1122B"/>
    <w:rsid w:val="00A1536C"/>
    <w:rsid w:val="00A170F5"/>
    <w:rsid w:val="00A17E98"/>
    <w:rsid w:val="00A215E4"/>
    <w:rsid w:val="00A2529B"/>
    <w:rsid w:val="00A25529"/>
    <w:rsid w:val="00A259CC"/>
    <w:rsid w:val="00A2666F"/>
    <w:rsid w:val="00A279CC"/>
    <w:rsid w:val="00A3760A"/>
    <w:rsid w:val="00A40429"/>
    <w:rsid w:val="00A434B0"/>
    <w:rsid w:val="00A53201"/>
    <w:rsid w:val="00A54057"/>
    <w:rsid w:val="00A60164"/>
    <w:rsid w:val="00A71114"/>
    <w:rsid w:val="00A7522D"/>
    <w:rsid w:val="00A7654C"/>
    <w:rsid w:val="00AA6781"/>
    <w:rsid w:val="00AC094C"/>
    <w:rsid w:val="00AC5A84"/>
    <w:rsid w:val="00AD3312"/>
    <w:rsid w:val="00AE7F82"/>
    <w:rsid w:val="00AF0238"/>
    <w:rsid w:val="00AF0C24"/>
    <w:rsid w:val="00B13068"/>
    <w:rsid w:val="00B15050"/>
    <w:rsid w:val="00B179CB"/>
    <w:rsid w:val="00B203DB"/>
    <w:rsid w:val="00B20E7D"/>
    <w:rsid w:val="00B20F8C"/>
    <w:rsid w:val="00B4186A"/>
    <w:rsid w:val="00B46E65"/>
    <w:rsid w:val="00B545BD"/>
    <w:rsid w:val="00B54BE0"/>
    <w:rsid w:val="00B71B91"/>
    <w:rsid w:val="00B75EE2"/>
    <w:rsid w:val="00B813FF"/>
    <w:rsid w:val="00BA676D"/>
    <w:rsid w:val="00BB0065"/>
    <w:rsid w:val="00BB2097"/>
    <w:rsid w:val="00BB38A5"/>
    <w:rsid w:val="00BC1BC5"/>
    <w:rsid w:val="00BC1D74"/>
    <w:rsid w:val="00BC52F5"/>
    <w:rsid w:val="00BD236D"/>
    <w:rsid w:val="00BE0BD5"/>
    <w:rsid w:val="00BE2EAF"/>
    <w:rsid w:val="00BE7988"/>
    <w:rsid w:val="00BF1D0F"/>
    <w:rsid w:val="00C05E2F"/>
    <w:rsid w:val="00C2234B"/>
    <w:rsid w:val="00C33D32"/>
    <w:rsid w:val="00C37DE1"/>
    <w:rsid w:val="00C432B9"/>
    <w:rsid w:val="00C43C40"/>
    <w:rsid w:val="00C443E2"/>
    <w:rsid w:val="00C45545"/>
    <w:rsid w:val="00C47069"/>
    <w:rsid w:val="00C524C6"/>
    <w:rsid w:val="00C6038B"/>
    <w:rsid w:val="00C63257"/>
    <w:rsid w:val="00C63406"/>
    <w:rsid w:val="00C74FDA"/>
    <w:rsid w:val="00C76D85"/>
    <w:rsid w:val="00C77375"/>
    <w:rsid w:val="00C84BA4"/>
    <w:rsid w:val="00C856B3"/>
    <w:rsid w:val="00C87D38"/>
    <w:rsid w:val="00C906CC"/>
    <w:rsid w:val="00C90838"/>
    <w:rsid w:val="00C9609F"/>
    <w:rsid w:val="00C96249"/>
    <w:rsid w:val="00C96564"/>
    <w:rsid w:val="00CB4A53"/>
    <w:rsid w:val="00CE130C"/>
    <w:rsid w:val="00CE1813"/>
    <w:rsid w:val="00CE4F1A"/>
    <w:rsid w:val="00CE5E1F"/>
    <w:rsid w:val="00CE7845"/>
    <w:rsid w:val="00CF0A2D"/>
    <w:rsid w:val="00CF0F0B"/>
    <w:rsid w:val="00CF1627"/>
    <w:rsid w:val="00CF3294"/>
    <w:rsid w:val="00CF6F07"/>
    <w:rsid w:val="00D0221A"/>
    <w:rsid w:val="00D068C4"/>
    <w:rsid w:val="00D107ED"/>
    <w:rsid w:val="00D12DBE"/>
    <w:rsid w:val="00D173B5"/>
    <w:rsid w:val="00D22FA6"/>
    <w:rsid w:val="00D23410"/>
    <w:rsid w:val="00D269E7"/>
    <w:rsid w:val="00D451C4"/>
    <w:rsid w:val="00D46E55"/>
    <w:rsid w:val="00D50029"/>
    <w:rsid w:val="00D52EB6"/>
    <w:rsid w:val="00D56FCA"/>
    <w:rsid w:val="00D57692"/>
    <w:rsid w:val="00D60AA5"/>
    <w:rsid w:val="00D6465C"/>
    <w:rsid w:val="00D670B3"/>
    <w:rsid w:val="00D75F99"/>
    <w:rsid w:val="00D778DD"/>
    <w:rsid w:val="00D87418"/>
    <w:rsid w:val="00D934ED"/>
    <w:rsid w:val="00DA0ACA"/>
    <w:rsid w:val="00DA6008"/>
    <w:rsid w:val="00DB3223"/>
    <w:rsid w:val="00DB3671"/>
    <w:rsid w:val="00DB52F4"/>
    <w:rsid w:val="00DB69A9"/>
    <w:rsid w:val="00DB6D1B"/>
    <w:rsid w:val="00DD3BB3"/>
    <w:rsid w:val="00DD7D63"/>
    <w:rsid w:val="00DF0E95"/>
    <w:rsid w:val="00E04248"/>
    <w:rsid w:val="00E04ADB"/>
    <w:rsid w:val="00E0677E"/>
    <w:rsid w:val="00E0746C"/>
    <w:rsid w:val="00E1262C"/>
    <w:rsid w:val="00E26B6D"/>
    <w:rsid w:val="00E27F51"/>
    <w:rsid w:val="00E311AA"/>
    <w:rsid w:val="00E460C2"/>
    <w:rsid w:val="00E46435"/>
    <w:rsid w:val="00E53B6C"/>
    <w:rsid w:val="00E5446C"/>
    <w:rsid w:val="00E66274"/>
    <w:rsid w:val="00E83D50"/>
    <w:rsid w:val="00E9666D"/>
    <w:rsid w:val="00EA1FAC"/>
    <w:rsid w:val="00EA2E81"/>
    <w:rsid w:val="00EA7226"/>
    <w:rsid w:val="00EA757B"/>
    <w:rsid w:val="00EC234D"/>
    <w:rsid w:val="00ED1E32"/>
    <w:rsid w:val="00ED24D7"/>
    <w:rsid w:val="00ED72E9"/>
    <w:rsid w:val="00EE1673"/>
    <w:rsid w:val="00EF27BC"/>
    <w:rsid w:val="00F01E56"/>
    <w:rsid w:val="00F022C9"/>
    <w:rsid w:val="00F05782"/>
    <w:rsid w:val="00F12BFE"/>
    <w:rsid w:val="00F13A3E"/>
    <w:rsid w:val="00F167A4"/>
    <w:rsid w:val="00F33172"/>
    <w:rsid w:val="00F364E0"/>
    <w:rsid w:val="00F523E0"/>
    <w:rsid w:val="00F60619"/>
    <w:rsid w:val="00F6252B"/>
    <w:rsid w:val="00F75EB9"/>
    <w:rsid w:val="00F76AED"/>
    <w:rsid w:val="00F83844"/>
    <w:rsid w:val="00F87BB6"/>
    <w:rsid w:val="00FA1721"/>
    <w:rsid w:val="00FA7F37"/>
    <w:rsid w:val="00FB506F"/>
    <w:rsid w:val="00FC1ABD"/>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link w:val="FooterChar"/>
    <w:uiPriority w:val="99"/>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paragraph" w:styleId="NormalWeb">
    <w:name w:val="Normal (Web)"/>
    <w:basedOn w:val="Normal"/>
    <w:uiPriority w:val="99"/>
    <w:unhideWhenUsed/>
    <w:rsid w:val="00497C8E"/>
    <w:pPr>
      <w:autoSpaceDE/>
      <w:autoSpaceDN/>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60AA5"/>
    <w:rPr>
      <w:sz w:val="16"/>
      <w:szCs w:val="16"/>
    </w:rPr>
  </w:style>
  <w:style w:type="paragraph" w:styleId="CommentText">
    <w:name w:val="annotation text"/>
    <w:basedOn w:val="Normal"/>
    <w:link w:val="CommentTextChar"/>
    <w:rsid w:val="00D60AA5"/>
    <w:rPr>
      <w:szCs w:val="20"/>
    </w:rPr>
  </w:style>
  <w:style w:type="character" w:customStyle="1" w:styleId="CommentTextChar">
    <w:name w:val="Comment Text Char"/>
    <w:basedOn w:val="DefaultParagraphFont"/>
    <w:link w:val="CommentText"/>
    <w:rsid w:val="00D60AA5"/>
    <w:rPr>
      <w:rFonts w:ascii="CG Times (WN)" w:hAnsi="CG Times (WN)"/>
    </w:rPr>
  </w:style>
  <w:style w:type="paragraph" w:styleId="CommentSubject">
    <w:name w:val="annotation subject"/>
    <w:basedOn w:val="CommentText"/>
    <w:next w:val="CommentText"/>
    <w:link w:val="CommentSubjectChar"/>
    <w:rsid w:val="00D60AA5"/>
    <w:rPr>
      <w:b/>
      <w:bCs/>
    </w:rPr>
  </w:style>
  <w:style w:type="character" w:customStyle="1" w:styleId="CommentSubjectChar">
    <w:name w:val="Comment Subject Char"/>
    <w:basedOn w:val="CommentTextChar"/>
    <w:link w:val="CommentSubject"/>
    <w:rsid w:val="00D60AA5"/>
    <w:rPr>
      <w:rFonts w:ascii="CG Times (WN)" w:hAnsi="CG Times (WN)"/>
      <w:b/>
      <w:bCs/>
    </w:rPr>
  </w:style>
  <w:style w:type="character" w:customStyle="1" w:styleId="FooterChar">
    <w:name w:val="Footer Char"/>
    <w:basedOn w:val="DefaultParagraphFont"/>
    <w:link w:val="Footer"/>
    <w:uiPriority w:val="99"/>
    <w:rsid w:val="004E6F27"/>
    <w:rPr>
      <w:rFonts w:ascii="CG Times (WN)" w:hAnsi="CG Times (W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link w:val="FooterChar"/>
    <w:uiPriority w:val="99"/>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paragraph" w:styleId="NormalWeb">
    <w:name w:val="Normal (Web)"/>
    <w:basedOn w:val="Normal"/>
    <w:uiPriority w:val="99"/>
    <w:unhideWhenUsed/>
    <w:rsid w:val="00497C8E"/>
    <w:pPr>
      <w:autoSpaceDE/>
      <w:autoSpaceDN/>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60AA5"/>
    <w:rPr>
      <w:sz w:val="16"/>
      <w:szCs w:val="16"/>
    </w:rPr>
  </w:style>
  <w:style w:type="paragraph" w:styleId="CommentText">
    <w:name w:val="annotation text"/>
    <w:basedOn w:val="Normal"/>
    <w:link w:val="CommentTextChar"/>
    <w:rsid w:val="00D60AA5"/>
    <w:rPr>
      <w:szCs w:val="20"/>
    </w:rPr>
  </w:style>
  <w:style w:type="character" w:customStyle="1" w:styleId="CommentTextChar">
    <w:name w:val="Comment Text Char"/>
    <w:basedOn w:val="DefaultParagraphFont"/>
    <w:link w:val="CommentText"/>
    <w:rsid w:val="00D60AA5"/>
    <w:rPr>
      <w:rFonts w:ascii="CG Times (WN)" w:hAnsi="CG Times (WN)"/>
    </w:rPr>
  </w:style>
  <w:style w:type="paragraph" w:styleId="CommentSubject">
    <w:name w:val="annotation subject"/>
    <w:basedOn w:val="CommentText"/>
    <w:next w:val="CommentText"/>
    <w:link w:val="CommentSubjectChar"/>
    <w:rsid w:val="00D60AA5"/>
    <w:rPr>
      <w:b/>
      <w:bCs/>
    </w:rPr>
  </w:style>
  <w:style w:type="character" w:customStyle="1" w:styleId="CommentSubjectChar">
    <w:name w:val="Comment Subject Char"/>
    <w:basedOn w:val="CommentTextChar"/>
    <w:link w:val="CommentSubject"/>
    <w:rsid w:val="00D60AA5"/>
    <w:rPr>
      <w:rFonts w:ascii="CG Times (WN)" w:hAnsi="CG Times (WN)"/>
      <w:b/>
      <w:bCs/>
    </w:rPr>
  </w:style>
  <w:style w:type="character" w:customStyle="1" w:styleId="FooterChar">
    <w:name w:val="Footer Char"/>
    <w:basedOn w:val="DefaultParagraphFont"/>
    <w:link w:val="Footer"/>
    <w:uiPriority w:val="99"/>
    <w:rsid w:val="004E6F27"/>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5760">
      <w:bodyDiv w:val="1"/>
      <w:marLeft w:val="0"/>
      <w:marRight w:val="0"/>
      <w:marTop w:val="0"/>
      <w:marBottom w:val="0"/>
      <w:divBdr>
        <w:top w:val="none" w:sz="0" w:space="0" w:color="auto"/>
        <w:left w:val="none" w:sz="0" w:space="0" w:color="auto"/>
        <w:bottom w:val="none" w:sz="0" w:space="0" w:color="auto"/>
        <w:right w:val="none" w:sz="0" w:space="0" w:color="auto"/>
      </w:divBdr>
    </w:div>
    <w:div w:id="853615684">
      <w:bodyDiv w:val="1"/>
      <w:marLeft w:val="0"/>
      <w:marRight w:val="0"/>
      <w:marTop w:val="0"/>
      <w:marBottom w:val="0"/>
      <w:divBdr>
        <w:top w:val="none" w:sz="0" w:space="0" w:color="auto"/>
        <w:left w:val="none" w:sz="0" w:space="0" w:color="auto"/>
        <w:bottom w:val="none" w:sz="0" w:space="0" w:color="auto"/>
        <w:right w:val="none" w:sz="0" w:space="0" w:color="auto"/>
      </w:divBdr>
    </w:div>
    <w:div w:id="1603758121">
      <w:bodyDiv w:val="1"/>
      <w:marLeft w:val="0"/>
      <w:marRight w:val="0"/>
      <w:marTop w:val="0"/>
      <w:marBottom w:val="0"/>
      <w:divBdr>
        <w:top w:val="none" w:sz="0" w:space="0" w:color="auto"/>
        <w:left w:val="none" w:sz="0" w:space="0" w:color="auto"/>
        <w:bottom w:val="none" w:sz="0" w:space="0" w:color="auto"/>
        <w:right w:val="none" w:sz="0" w:space="0" w:color="auto"/>
      </w:divBdr>
    </w:div>
    <w:div w:id="1698969717">
      <w:bodyDiv w:val="1"/>
      <w:marLeft w:val="0"/>
      <w:marRight w:val="0"/>
      <w:marTop w:val="0"/>
      <w:marBottom w:val="0"/>
      <w:divBdr>
        <w:top w:val="none" w:sz="0" w:space="0" w:color="auto"/>
        <w:left w:val="none" w:sz="0" w:space="0" w:color="auto"/>
        <w:bottom w:val="none" w:sz="0" w:space="0" w:color="auto"/>
        <w:right w:val="none" w:sz="0" w:space="0" w:color="auto"/>
      </w:divBdr>
      <w:divsChild>
        <w:div w:id="33773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2015-04-16T20:09:00Z</dcterms:created>
  <dcterms:modified xsi:type="dcterms:W3CDTF">2015-04-16T20:34:00Z</dcterms:modified>
</cp:coreProperties>
</file>