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40"/>
            </w:rPr>
            <w:t>Illinois</w:t>
          </w:r>
        </w:smartTag>
        <w:r>
          <w:rPr>
            <w:b/>
            <w:smallCaps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sz w:val="40"/>
            </w:rPr>
            <w:t>State</w:t>
          </w:r>
        </w:smartTag>
      </w:smartTag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506FBD">
      <w:pPr>
        <w:pStyle w:val="Caption"/>
        <w:framePr w:h="4790" w:wrap="auto" w:x="8560" w:y="-738"/>
      </w:pPr>
      <w:r>
        <w:t>Board of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Pr="00966281" w:rsidRDefault="00657D34" w:rsidP="00657D34">
      <w:pPr>
        <w:tabs>
          <w:tab w:val="center" w:pos="8640"/>
        </w:tabs>
        <w:ind w:right="450"/>
        <w:jc w:val="both"/>
        <w:rPr>
          <w:rFonts w:ascii="Times New Roman" w:hAnsi="Times New Roman"/>
          <w:sz w:val="20"/>
          <w:u w:val="single"/>
        </w:rPr>
      </w:pPr>
    </w:p>
    <w:p w:rsidR="00D7647E" w:rsidRDefault="00EC6ED5" w:rsidP="00D7647E">
      <w:pPr>
        <w:tabs>
          <w:tab w:val="center" w:pos="8550"/>
        </w:tabs>
        <w:ind w:right="-990"/>
        <w:rPr>
          <w:rFonts w:ascii="Times New Roman" w:hAnsi="Times New Roman"/>
          <w:b/>
          <w:sz w:val="20"/>
          <w:u w:val="single"/>
        </w:rPr>
      </w:pPr>
      <w:r w:rsidRPr="00966281">
        <w:rPr>
          <w:rFonts w:ascii="Times New Roman" w:hAnsi="Times New Roman"/>
          <w:sz w:val="20"/>
        </w:rPr>
        <w:t xml:space="preserve">   </w:t>
      </w:r>
      <w:r w:rsidR="00966281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</w:t>
      </w:r>
      <w:r w:rsidR="00D7647E">
        <w:rPr>
          <w:rFonts w:ascii="Times New Roman" w:hAnsi="Times New Roman"/>
          <w:b/>
          <w:sz w:val="20"/>
          <w:u w:val="single"/>
        </w:rPr>
        <w:t>Resolution No. 2015.02/05</w:t>
      </w:r>
    </w:p>
    <w:p w:rsidR="00D7647E" w:rsidRDefault="00D7647E" w:rsidP="00D7647E">
      <w:pPr>
        <w:tabs>
          <w:tab w:val="center" w:pos="8550"/>
        </w:tabs>
        <w:ind w:right="-99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</w:t>
      </w:r>
      <w:r w:rsidR="004A230C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  <w:u w:val="single"/>
        </w:rPr>
        <w:t>Renewal of Student Health Insurance</w:t>
      </w:r>
    </w:p>
    <w:p w:rsidR="00D7647E" w:rsidRDefault="00D7647E" w:rsidP="00D7647E">
      <w:pPr>
        <w:tabs>
          <w:tab w:val="center" w:pos="8550"/>
        </w:tabs>
        <w:ind w:left="-360" w:right="450"/>
        <w:jc w:val="both"/>
        <w:rPr>
          <w:rFonts w:ascii="Times New Roman" w:hAnsi="Times New Roman"/>
          <w:b/>
          <w:sz w:val="20"/>
          <w:u w:val="single"/>
        </w:rPr>
      </w:pPr>
    </w:p>
    <w:p w:rsidR="00D7647E" w:rsidRDefault="00D7647E" w:rsidP="00D7647E">
      <w:pPr>
        <w:tabs>
          <w:tab w:val="center" w:pos="8550"/>
        </w:tabs>
        <w:ind w:left="-360" w:right="450"/>
        <w:jc w:val="both"/>
        <w:rPr>
          <w:rFonts w:ascii="Times New Roman" w:hAnsi="Times New Roman"/>
          <w:b/>
          <w:sz w:val="20"/>
          <w:u w:val="single"/>
        </w:rPr>
      </w:pPr>
    </w:p>
    <w:p w:rsidR="00DD7E05" w:rsidRDefault="00D7647E" w:rsidP="00DD7E05">
      <w:pPr>
        <w:tabs>
          <w:tab w:val="center" w:pos="8550"/>
        </w:tabs>
        <w:ind w:left="-360" w:right="450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Resolution</w:t>
      </w:r>
    </w:p>
    <w:p w:rsidR="00DD7E05" w:rsidRDefault="00D7647E" w:rsidP="00DD7E05">
      <w:pPr>
        <w:tabs>
          <w:tab w:val="center" w:pos="8550"/>
        </w:tabs>
        <w:ind w:left="-360" w:right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 the University’s Student Health and Accident Plan will expire August 15, 2015, and</w:t>
      </w:r>
      <w:r w:rsidR="00DD7E05">
        <w:rPr>
          <w:rFonts w:ascii="Times New Roman" w:hAnsi="Times New Roman"/>
          <w:sz w:val="20"/>
        </w:rPr>
        <w:t xml:space="preserve"> </w:t>
      </w:r>
    </w:p>
    <w:p w:rsidR="00DD7E05" w:rsidRDefault="00DD7E05" w:rsidP="00DD7E05">
      <w:pPr>
        <w:tabs>
          <w:tab w:val="center" w:pos="8550"/>
        </w:tabs>
        <w:ind w:left="-360" w:right="450"/>
        <w:jc w:val="both"/>
        <w:rPr>
          <w:rFonts w:ascii="Times New Roman" w:hAnsi="Times New Roman"/>
          <w:sz w:val="20"/>
        </w:rPr>
      </w:pPr>
    </w:p>
    <w:p w:rsidR="00DD7E05" w:rsidRDefault="00D7647E" w:rsidP="00DD7E05">
      <w:pPr>
        <w:tabs>
          <w:tab w:val="center" w:pos="8550"/>
        </w:tabs>
        <w:ind w:left="-360" w:right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the Board of Trustees approved the current agreement with Aetna Student Health for the 2012-13 policy year at its February 17, 2012, meeting which included a provision for up to nine renewal periods upon mutual agreement between Illinois State University and Aetna Student Health, and </w:t>
      </w:r>
    </w:p>
    <w:p w:rsidR="00DD7E05" w:rsidRDefault="00DD7E05" w:rsidP="00DD7E05">
      <w:pPr>
        <w:tabs>
          <w:tab w:val="center" w:pos="8550"/>
        </w:tabs>
        <w:ind w:left="-360" w:right="450"/>
        <w:jc w:val="both"/>
        <w:rPr>
          <w:rFonts w:ascii="Times New Roman" w:hAnsi="Times New Roman"/>
          <w:sz w:val="20"/>
        </w:rPr>
      </w:pPr>
    </w:p>
    <w:p w:rsidR="00DD7E05" w:rsidRDefault="00D7647E" w:rsidP="00DD7E05">
      <w:pPr>
        <w:tabs>
          <w:tab w:val="center" w:pos="8550"/>
        </w:tabs>
        <w:ind w:left="-360" w:right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 this is the third renewal between Illinois State Univ</w:t>
      </w:r>
      <w:r w:rsidR="00926033">
        <w:rPr>
          <w:rFonts w:ascii="Times New Roman" w:hAnsi="Times New Roman"/>
          <w:sz w:val="20"/>
        </w:rPr>
        <w:t>ersity and Aetna Student Health:</w:t>
      </w:r>
      <w:r>
        <w:rPr>
          <w:rFonts w:ascii="Times New Roman" w:hAnsi="Times New Roman"/>
          <w:sz w:val="20"/>
        </w:rPr>
        <w:t xml:space="preserve"> </w:t>
      </w:r>
    </w:p>
    <w:p w:rsidR="00DD7E05" w:rsidRDefault="00DD7E05" w:rsidP="00DD7E05">
      <w:pPr>
        <w:tabs>
          <w:tab w:val="center" w:pos="8550"/>
        </w:tabs>
        <w:ind w:left="-360" w:right="450"/>
        <w:jc w:val="both"/>
        <w:rPr>
          <w:rFonts w:ascii="Times New Roman" w:hAnsi="Times New Roman"/>
          <w:sz w:val="20"/>
        </w:rPr>
      </w:pPr>
    </w:p>
    <w:p w:rsidR="00DD7E05" w:rsidRDefault="00DD7E05" w:rsidP="00DD7E05">
      <w:pPr>
        <w:tabs>
          <w:tab w:val="center" w:pos="8550"/>
        </w:tabs>
        <w:ind w:left="-360" w:right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</w:t>
      </w:r>
      <w:r w:rsidR="00D7647E">
        <w:rPr>
          <w:rFonts w:ascii="Times New Roman" w:hAnsi="Times New Roman"/>
          <w:sz w:val="20"/>
        </w:rPr>
        <w:t>herefore, be it resolved that the Board of Trustees of Illinois State University awards to Aetna Student Health the renewed agreement for the 2015-2016 policy year.</w:t>
      </w:r>
      <w:r>
        <w:rPr>
          <w:rFonts w:ascii="Times New Roman" w:hAnsi="Times New Roman"/>
          <w:sz w:val="20"/>
        </w:rPr>
        <w:t xml:space="preserve"> </w:t>
      </w:r>
    </w:p>
    <w:p w:rsidR="00DD7E05" w:rsidRDefault="00DD7E05" w:rsidP="00DD7E05">
      <w:pPr>
        <w:tabs>
          <w:tab w:val="center" w:pos="8550"/>
        </w:tabs>
        <w:ind w:left="-360" w:right="450"/>
        <w:jc w:val="both"/>
        <w:rPr>
          <w:rFonts w:ascii="Times New Roman" w:hAnsi="Times New Roman"/>
          <w:sz w:val="20"/>
        </w:rPr>
      </w:pPr>
    </w:p>
    <w:p w:rsidR="00D7647E" w:rsidRDefault="00D7647E" w:rsidP="00DD7E05">
      <w:pPr>
        <w:tabs>
          <w:tab w:val="center" w:pos="8550"/>
        </w:tabs>
        <w:ind w:left="-360" w:right="450"/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Be it further resolved that the Board of Trustees approves the student health insurance rate of $249 for the fall 2015 and spring 2016 sessions and $187 for the summer 2016 session.</w:t>
      </w:r>
    </w:p>
    <w:p w:rsidR="00D7647E" w:rsidRDefault="00D7647E" w:rsidP="00D7647E">
      <w:pPr>
        <w:rPr>
          <w:rFonts w:ascii="Times New Roman" w:hAnsi="Times New Roman"/>
          <w:sz w:val="20"/>
        </w:rPr>
      </w:pPr>
    </w:p>
    <w:p w:rsidR="00D7647E" w:rsidRDefault="00D7647E" w:rsidP="00D7647E">
      <w:pPr>
        <w:rPr>
          <w:rFonts w:ascii="Times New Roman" w:hAnsi="Times New Roman"/>
          <w:sz w:val="20"/>
        </w:rPr>
      </w:pPr>
    </w:p>
    <w:p w:rsidR="00D7647E" w:rsidRDefault="00D7647E" w:rsidP="00D7647E">
      <w:pPr>
        <w:pBdr>
          <w:bottom w:val="single" w:sz="12" w:space="1" w:color="auto"/>
        </w:pBdr>
        <w:tabs>
          <w:tab w:val="center" w:pos="8550"/>
        </w:tabs>
        <w:ind w:right="450"/>
        <w:jc w:val="both"/>
        <w:rPr>
          <w:rFonts w:ascii="Times New Roman" w:hAnsi="Times New Roman"/>
          <w:sz w:val="20"/>
        </w:rPr>
      </w:pPr>
    </w:p>
    <w:p w:rsidR="00D7647E" w:rsidRDefault="00D7647E" w:rsidP="00D7647E">
      <w:pPr>
        <w:pBdr>
          <w:bottom w:val="single" w:sz="12" w:space="1" w:color="auto"/>
        </w:pBdr>
        <w:tabs>
          <w:tab w:val="center" w:pos="8550"/>
        </w:tabs>
        <w:ind w:right="450"/>
        <w:jc w:val="both"/>
        <w:rPr>
          <w:rFonts w:ascii="Times New Roman" w:hAnsi="Times New Roman"/>
          <w:sz w:val="20"/>
        </w:rPr>
      </w:pPr>
    </w:p>
    <w:p w:rsidR="00D7647E" w:rsidRDefault="00D7647E" w:rsidP="00D7647E">
      <w:pPr>
        <w:pBdr>
          <w:bottom w:val="single" w:sz="12" w:space="1" w:color="auto"/>
        </w:pBdr>
        <w:tabs>
          <w:tab w:val="center" w:pos="8550"/>
        </w:tabs>
        <w:ind w:right="450"/>
        <w:jc w:val="both"/>
        <w:rPr>
          <w:rFonts w:ascii="Times New Roman" w:hAnsi="Times New Roman"/>
          <w:sz w:val="20"/>
        </w:rPr>
      </w:pPr>
    </w:p>
    <w:p w:rsidR="00D7647E" w:rsidRDefault="00D7647E" w:rsidP="00D7647E">
      <w:pPr>
        <w:tabs>
          <w:tab w:val="left" w:pos="3960"/>
          <w:tab w:val="center" w:pos="855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Board Action on</w:t>
      </w:r>
      <w:proofErr w:type="gramStart"/>
      <w:r>
        <w:rPr>
          <w:rFonts w:ascii="Times New Roman" w:hAnsi="Times New Roman"/>
          <w:sz w:val="20"/>
        </w:rPr>
        <w:t>:_</w:t>
      </w:r>
      <w:proofErr w:type="gramEnd"/>
      <w:r>
        <w:rPr>
          <w:rFonts w:ascii="Times New Roman" w:hAnsi="Times New Roman"/>
          <w:sz w:val="20"/>
        </w:rPr>
        <w:t>______________________</w:t>
      </w:r>
      <w:r>
        <w:rPr>
          <w:rFonts w:ascii="Times New Roman" w:hAnsi="Times New Roman"/>
          <w:sz w:val="20"/>
        </w:rPr>
        <w:tab/>
        <w:t>Postpone:______________________________</w:t>
      </w:r>
    </w:p>
    <w:p w:rsidR="00D7647E" w:rsidRDefault="00D7647E" w:rsidP="00D7647E">
      <w:pPr>
        <w:tabs>
          <w:tab w:val="left" w:pos="360"/>
          <w:tab w:val="left" w:pos="4320"/>
          <w:tab w:val="left" w:pos="4770"/>
          <w:tab w:val="center" w:pos="855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Motion by:  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Amend</w:t>
      </w:r>
      <w:proofErr w:type="gramStart"/>
      <w:r>
        <w:rPr>
          <w:rFonts w:ascii="Times New Roman" w:hAnsi="Times New Roman"/>
          <w:sz w:val="20"/>
        </w:rPr>
        <w:t>:_</w:t>
      </w:r>
      <w:proofErr w:type="gramEnd"/>
      <w:r>
        <w:rPr>
          <w:rFonts w:ascii="Times New Roman" w:hAnsi="Times New Roman"/>
          <w:sz w:val="20"/>
        </w:rPr>
        <w:t>______________________</w:t>
      </w:r>
    </w:p>
    <w:p w:rsidR="00D7647E" w:rsidRDefault="00D7647E" w:rsidP="00D7647E">
      <w:pPr>
        <w:tabs>
          <w:tab w:val="left" w:pos="360"/>
          <w:tab w:val="left" w:pos="4320"/>
          <w:tab w:val="left" w:pos="4770"/>
          <w:tab w:val="center" w:pos="855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Seconded by:  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Disapprove</w:t>
      </w:r>
      <w:proofErr w:type="gramStart"/>
      <w:r>
        <w:rPr>
          <w:rFonts w:ascii="Times New Roman" w:hAnsi="Times New Roman"/>
          <w:sz w:val="20"/>
        </w:rPr>
        <w:t>:_</w:t>
      </w:r>
      <w:proofErr w:type="gramEnd"/>
      <w:r>
        <w:rPr>
          <w:rFonts w:ascii="Times New Roman" w:hAnsi="Times New Roman"/>
          <w:sz w:val="20"/>
        </w:rPr>
        <w:t>___________________</w:t>
      </w:r>
    </w:p>
    <w:p w:rsidR="00D7647E" w:rsidRDefault="00D7647E" w:rsidP="00D7647E">
      <w:pPr>
        <w:tabs>
          <w:tab w:val="left" w:pos="360"/>
          <w:tab w:val="left" w:pos="1530"/>
          <w:tab w:val="left" w:pos="4770"/>
          <w:tab w:val="center" w:pos="855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Vote: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Yeas</w:t>
      </w:r>
      <w:proofErr w:type="gramStart"/>
      <w:r>
        <w:rPr>
          <w:rFonts w:ascii="Times New Roman" w:hAnsi="Times New Roman"/>
          <w:sz w:val="20"/>
        </w:rPr>
        <w:t>:_</w:t>
      </w:r>
      <w:proofErr w:type="gramEnd"/>
      <w:r>
        <w:rPr>
          <w:rFonts w:ascii="Times New Roman" w:hAnsi="Times New Roman"/>
          <w:sz w:val="20"/>
        </w:rPr>
        <w:t>_____Nays</w:t>
      </w:r>
      <w:proofErr w:type="spellEnd"/>
      <w:r>
        <w:rPr>
          <w:rFonts w:ascii="Times New Roman" w:hAnsi="Times New Roman"/>
          <w:sz w:val="20"/>
        </w:rPr>
        <w:t>:______</w:t>
      </w:r>
      <w:r>
        <w:rPr>
          <w:rFonts w:ascii="Times New Roman" w:hAnsi="Times New Roman"/>
          <w:sz w:val="20"/>
        </w:rPr>
        <w:tab/>
        <w:t>Approve:______________________</w:t>
      </w:r>
    </w:p>
    <w:p w:rsidR="00D7647E" w:rsidRDefault="00D7647E" w:rsidP="00D7647E">
      <w:pPr>
        <w:tabs>
          <w:tab w:val="left" w:pos="360"/>
          <w:tab w:val="left" w:pos="1530"/>
          <w:tab w:val="left" w:pos="4320"/>
          <w:tab w:val="left" w:pos="5130"/>
          <w:tab w:val="center" w:pos="8550"/>
        </w:tabs>
        <w:jc w:val="both"/>
        <w:rPr>
          <w:rFonts w:ascii="Times New Roman" w:hAnsi="Times New Roman"/>
          <w:sz w:val="20"/>
        </w:rPr>
      </w:pPr>
    </w:p>
    <w:p w:rsidR="00D7647E" w:rsidRDefault="00D7647E" w:rsidP="00D7647E">
      <w:pPr>
        <w:tabs>
          <w:tab w:val="left" w:pos="5130"/>
          <w:tab w:val="center" w:pos="8550"/>
        </w:tabs>
        <w:jc w:val="righ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ATTEST: Board Action, February 20, 2015</w:t>
      </w:r>
    </w:p>
    <w:p w:rsidR="00D7647E" w:rsidRDefault="00D7647E" w:rsidP="00D7647E">
      <w:pPr>
        <w:tabs>
          <w:tab w:val="left" w:pos="5130"/>
          <w:tab w:val="center" w:pos="8550"/>
        </w:tabs>
        <w:jc w:val="right"/>
        <w:rPr>
          <w:rFonts w:ascii="Times New Roman" w:hAnsi="Times New Roman"/>
          <w:sz w:val="20"/>
          <w:u w:val="single"/>
        </w:rPr>
      </w:pPr>
    </w:p>
    <w:p w:rsidR="00D7647E" w:rsidRDefault="00D7647E" w:rsidP="00D7647E">
      <w:pPr>
        <w:tabs>
          <w:tab w:val="left" w:pos="5130"/>
          <w:tab w:val="center" w:pos="85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             ________________________________</w:t>
      </w:r>
    </w:p>
    <w:p w:rsidR="00D7647E" w:rsidRDefault="00D7647E" w:rsidP="00D7647E">
      <w:pPr>
        <w:tabs>
          <w:tab w:val="left" w:pos="5130"/>
          <w:tab w:val="center" w:pos="855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Secretary/Chairperson</w:t>
      </w:r>
    </w:p>
    <w:p w:rsidR="00D7647E" w:rsidRDefault="00D7647E" w:rsidP="00D7647E">
      <w:pPr>
        <w:tabs>
          <w:tab w:val="left" w:pos="5130"/>
          <w:tab w:val="center" w:pos="8550"/>
        </w:tabs>
        <w:jc w:val="center"/>
        <w:rPr>
          <w:rFonts w:ascii="Times New Roman" w:hAnsi="Times New Roman"/>
          <w:sz w:val="20"/>
        </w:rPr>
      </w:pPr>
    </w:p>
    <w:p w:rsidR="00D7647E" w:rsidRDefault="00D7647E" w:rsidP="00D7647E">
      <w:pPr>
        <w:tabs>
          <w:tab w:val="left" w:pos="5130"/>
          <w:tab w:val="center" w:pos="8550"/>
        </w:tabs>
        <w:jc w:val="center"/>
        <w:rPr>
          <w:rFonts w:ascii="Times New Roman" w:hAnsi="Times New Roman"/>
          <w:sz w:val="20"/>
        </w:rPr>
      </w:pPr>
    </w:p>
    <w:p w:rsidR="00D7647E" w:rsidRDefault="00D7647E" w:rsidP="00D7647E">
      <w:pPr>
        <w:tabs>
          <w:tab w:val="left" w:pos="5130"/>
          <w:tab w:val="center" w:pos="8550"/>
        </w:tabs>
        <w:jc w:val="center"/>
        <w:rPr>
          <w:rFonts w:ascii="Times New Roman" w:hAnsi="Times New Roman"/>
          <w:sz w:val="20"/>
        </w:rPr>
      </w:pPr>
    </w:p>
    <w:p w:rsidR="00D7647E" w:rsidRDefault="00D7647E" w:rsidP="00D7647E">
      <w:pPr>
        <w:tabs>
          <w:tab w:val="left" w:pos="5130"/>
          <w:tab w:val="center" w:pos="8550"/>
        </w:tabs>
        <w:jc w:val="center"/>
        <w:rPr>
          <w:rFonts w:ascii="Times New Roman" w:hAnsi="Times New Roman"/>
          <w:sz w:val="20"/>
        </w:rPr>
      </w:pPr>
    </w:p>
    <w:p w:rsidR="00D7647E" w:rsidRDefault="00D7647E" w:rsidP="00D7647E">
      <w:pPr>
        <w:tabs>
          <w:tab w:val="left" w:pos="5130"/>
          <w:tab w:val="center" w:pos="8550"/>
        </w:tabs>
        <w:jc w:val="center"/>
        <w:rPr>
          <w:rFonts w:ascii="Times New Roman" w:hAnsi="Times New Roman"/>
          <w:sz w:val="20"/>
        </w:rPr>
      </w:pPr>
    </w:p>
    <w:p w:rsidR="00D7647E" w:rsidRDefault="00D7647E" w:rsidP="00D7647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Renewal of Student Health Insurance Plan</w:t>
      </w:r>
    </w:p>
    <w:p w:rsidR="00D7647E" w:rsidRDefault="00D7647E" w:rsidP="00D7647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 Policy Year 2015-2016</w:t>
      </w:r>
    </w:p>
    <w:p w:rsidR="00D7647E" w:rsidRDefault="00D7647E" w:rsidP="00D7647E">
      <w:pPr>
        <w:jc w:val="center"/>
        <w:rPr>
          <w:rFonts w:ascii="Times New Roman" w:hAnsi="Times New Roman"/>
          <w:sz w:val="20"/>
        </w:rPr>
      </w:pPr>
    </w:p>
    <w:p w:rsidR="00D7647E" w:rsidRDefault="00D7647E" w:rsidP="00D7647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Each year Aetna Student Health develops a renewal percentage that represents the increase in the plan for the next year.  The percentage is calculated using a mathematical formula that estimates medical trends, pooling charges (</w:t>
      </w:r>
      <w:r>
        <w:rPr>
          <w:rFonts w:ascii="Times New Roman" w:hAnsi="Times New Roman"/>
          <w:sz w:val="20"/>
          <w:lang w:val="en"/>
        </w:rPr>
        <w:t xml:space="preserve">method by which each member of an insurance pool shares in each and every risk written by the other members of the pool), </w:t>
      </w:r>
      <w:r>
        <w:rPr>
          <w:rFonts w:ascii="Times New Roman" w:hAnsi="Times New Roman"/>
          <w:sz w:val="20"/>
        </w:rPr>
        <w:t>adjustments in the pooling charge for high dollar claims, impact of plan changes, and any rate increases experienced by the plan.  The formula incorporates a blend of the plan’s most recent two years of claims and premium data that has been used for more than ten years on ISU renewals.</w:t>
      </w:r>
    </w:p>
    <w:p w:rsidR="00D7647E" w:rsidRDefault="00D7647E" w:rsidP="00D7647E">
      <w:pPr>
        <w:rPr>
          <w:rFonts w:ascii="Times New Roman" w:hAnsi="Times New Roman"/>
          <w:sz w:val="20"/>
        </w:rPr>
      </w:pPr>
    </w:p>
    <w:p w:rsidR="00D7647E" w:rsidRDefault="00D7647E" w:rsidP="00D7647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Due to changes mandated by the federal Affordable Care Act (ACA), the SHIP was required to add coverage for additional essential benefits (prescription drugs, </w:t>
      </w:r>
      <w:r w:rsidR="00926033">
        <w:rPr>
          <w:rFonts w:ascii="Times New Roman" w:hAnsi="Times New Roman"/>
          <w:sz w:val="20"/>
        </w:rPr>
        <w:t>re</w:t>
      </w:r>
      <w:r>
        <w:rPr>
          <w:rFonts w:ascii="Times New Roman" w:hAnsi="Times New Roman"/>
          <w:sz w:val="20"/>
        </w:rPr>
        <w:t xml:space="preserve">habilitation services, pediatric dental and vision services) for the 2014-2015 policy </w:t>
      </w:r>
      <w:proofErr w:type="gramStart"/>
      <w:r>
        <w:rPr>
          <w:rFonts w:ascii="Times New Roman" w:hAnsi="Times New Roman"/>
          <w:sz w:val="20"/>
        </w:rPr>
        <w:t>year</w:t>
      </w:r>
      <w:proofErr w:type="gramEnd"/>
      <w:r>
        <w:rPr>
          <w:rFonts w:ascii="Times New Roman" w:hAnsi="Times New Roman"/>
          <w:sz w:val="20"/>
        </w:rPr>
        <w:t xml:space="preserve">.  The ACA also required the removal of the pre-existing condition exclusion and the aggregate plan maximum, along with a taxes and fees increase.  </w:t>
      </w:r>
    </w:p>
    <w:p w:rsidR="00926033" w:rsidRDefault="00926033" w:rsidP="00D7647E">
      <w:pPr>
        <w:rPr>
          <w:rFonts w:ascii="Times New Roman" w:hAnsi="Times New Roman"/>
          <w:sz w:val="20"/>
        </w:rPr>
      </w:pPr>
    </w:p>
    <w:p w:rsidR="00D7647E" w:rsidRDefault="00D7647E" w:rsidP="00D7647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Representatives from the Student Insurance Office and Student Health Services with the assistance of an insurance plan consultant with </w:t>
      </w:r>
      <w:proofErr w:type="spellStart"/>
      <w:r>
        <w:rPr>
          <w:rFonts w:ascii="Times New Roman" w:hAnsi="Times New Roman"/>
          <w:sz w:val="20"/>
        </w:rPr>
        <w:t>Schlomann</w:t>
      </w:r>
      <w:proofErr w:type="spellEnd"/>
      <w:r>
        <w:rPr>
          <w:rFonts w:ascii="Times New Roman" w:hAnsi="Times New Roman"/>
          <w:sz w:val="20"/>
        </w:rPr>
        <w:t xml:space="preserve"> &amp; Associates LLC, negotiate with Aetna Student Health to obtain the best plan at the lowest rate for Illinois State University students.  Although changes in the ACA resulted in a 33% increase in the costs of the student health insurance plan, through previous </w:t>
      </w:r>
      <w:proofErr w:type="gramStart"/>
      <w:r>
        <w:rPr>
          <w:rFonts w:ascii="Times New Roman" w:hAnsi="Times New Roman"/>
          <w:sz w:val="20"/>
        </w:rPr>
        <w:t>years</w:t>
      </w:r>
      <w:proofErr w:type="gramEnd"/>
      <w:r>
        <w:rPr>
          <w:rFonts w:ascii="Times New Roman" w:hAnsi="Times New Roman"/>
          <w:sz w:val="20"/>
        </w:rPr>
        <w:t xml:space="preserve"> premium planning favorable claims experience, and funds from the Premium Stabilization Reserve (</w:t>
      </w:r>
      <w:r w:rsidR="00926033">
        <w:rPr>
          <w:rFonts w:ascii="Times New Roman" w:hAnsi="Times New Roman"/>
          <w:sz w:val="20"/>
        </w:rPr>
        <w:t xml:space="preserve">PSR), the University is </w:t>
      </w:r>
      <w:r>
        <w:rPr>
          <w:rFonts w:ascii="Times New Roman" w:hAnsi="Times New Roman"/>
          <w:sz w:val="20"/>
        </w:rPr>
        <w:t>able to offer a rate increase of 6.9% for students enrolling in the student health insurance plan for the 2015-16 plan year.</w:t>
      </w:r>
    </w:p>
    <w:p w:rsidR="00D7647E" w:rsidRDefault="00D7647E" w:rsidP="00D7647E">
      <w:pPr>
        <w:rPr>
          <w:rFonts w:ascii="Times New Roman" w:hAnsi="Times New Roman"/>
          <w:sz w:val="20"/>
        </w:rPr>
      </w:pPr>
    </w:p>
    <w:p w:rsidR="00D7647E" w:rsidRDefault="00D7647E" w:rsidP="00D7647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proposed Aetna rates and use of the Premium Stabilization Reserve are as follows:</w:t>
      </w:r>
    </w:p>
    <w:p w:rsidR="00D7647E" w:rsidRDefault="00D7647E" w:rsidP="00D7647E">
      <w:pPr>
        <w:rPr>
          <w:rFonts w:ascii="Times New Roman" w:hAnsi="Times New Roman"/>
          <w:sz w:val="20"/>
        </w:rPr>
      </w:pPr>
    </w:p>
    <w:p w:rsidR="00D7647E" w:rsidRDefault="00D7647E" w:rsidP="00D7647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Premium Comparison:  Current and Proposed</w:t>
      </w:r>
    </w:p>
    <w:p w:rsidR="00D7647E" w:rsidRDefault="00D7647E" w:rsidP="00D7647E">
      <w:pPr>
        <w:ind w:left="360"/>
        <w:rPr>
          <w:rFonts w:ascii="Times New Roman" w:hAnsi="Times New Roman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6"/>
        <w:gridCol w:w="1699"/>
        <w:gridCol w:w="1866"/>
      </w:tblGrid>
      <w:tr w:rsidR="00D7647E" w:rsidTr="00D764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2014-2015 current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2015-2016 proposed</w:t>
            </w:r>
          </w:p>
        </w:tc>
      </w:tr>
      <w:tr w:rsidR="00D7647E" w:rsidTr="00D764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Semester Premium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</w:tr>
      <w:tr w:rsidR="00D7647E" w:rsidTr="00D764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 Call Premium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3</w:t>
            </w:r>
          </w:p>
        </w:tc>
      </w:tr>
      <w:tr w:rsidR="00D7647E" w:rsidTr="00D764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Administrative charge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</w:t>
            </w:r>
          </w:p>
        </w:tc>
      </w:tr>
      <w:tr w:rsidR="00D7647E" w:rsidTr="00D764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Subsidy from PSR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14</w:t>
            </w:r>
          </w:p>
        </w:tc>
      </w:tr>
      <w:tr w:rsidR="00D7647E" w:rsidTr="00D764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Fee assessed to student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</w:tr>
      <w:tr w:rsidR="00D7647E" w:rsidTr="00D764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2014-2015 current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2015-2016 proposed</w:t>
            </w:r>
          </w:p>
        </w:tc>
      </w:tr>
      <w:tr w:rsidR="00D7647E" w:rsidTr="00D764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Summer Premium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</w:t>
            </w:r>
          </w:p>
        </w:tc>
      </w:tr>
      <w:tr w:rsidR="00D7647E" w:rsidTr="00D764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 Call Premium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1</w:t>
            </w:r>
          </w:p>
        </w:tc>
      </w:tr>
      <w:tr w:rsidR="00D7647E" w:rsidTr="00D764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Administrative charge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5</w:t>
            </w:r>
          </w:p>
        </w:tc>
      </w:tr>
      <w:tr w:rsidR="00D7647E" w:rsidTr="00D764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Subsidy from PSR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11</w:t>
            </w:r>
          </w:p>
        </w:tc>
      </w:tr>
      <w:tr w:rsidR="00D7647E" w:rsidTr="00D764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Fee assessed to student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7E" w:rsidRDefault="00D764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</w:tr>
    </w:tbl>
    <w:p w:rsidR="00D7647E" w:rsidRDefault="00D7647E" w:rsidP="00D7647E">
      <w:pPr>
        <w:rPr>
          <w:rFonts w:ascii="Times New Roman" w:hAnsi="Times New Roman"/>
          <w:sz w:val="20"/>
        </w:rPr>
      </w:pPr>
    </w:p>
    <w:p w:rsidR="00EC6ED5" w:rsidRPr="00966281" w:rsidRDefault="00EC6ED5" w:rsidP="00D7647E">
      <w:pPr>
        <w:tabs>
          <w:tab w:val="center" w:pos="8190"/>
        </w:tabs>
        <w:ind w:right="-630"/>
        <w:jc w:val="both"/>
        <w:rPr>
          <w:rFonts w:ascii="Times New Roman" w:hAnsi="Times New Roman"/>
          <w:b/>
          <w:sz w:val="20"/>
          <w:u w:val="single"/>
        </w:rPr>
      </w:pPr>
    </w:p>
    <w:sectPr w:rsidR="00EC6ED5" w:rsidRPr="00966281" w:rsidSect="00F008E8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AD" w:rsidRDefault="00917CAD" w:rsidP="007F4BB9">
      <w:r>
        <w:separator/>
      </w:r>
    </w:p>
  </w:endnote>
  <w:endnote w:type="continuationSeparator" w:id="0">
    <w:p w:rsidR="00917CAD" w:rsidRDefault="00917CAD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AD" w:rsidRPr="00D7647E" w:rsidRDefault="00917CAD" w:rsidP="00F008E8">
    <w:pPr>
      <w:pStyle w:val="Footer"/>
      <w:rPr>
        <w:rFonts w:ascii="Times New Roman" w:hAnsi="Times New Roman"/>
        <w:sz w:val="20"/>
        <w:u w:val="single"/>
      </w:rPr>
    </w:pPr>
    <w:r w:rsidRPr="00D7647E">
      <w:rPr>
        <w:rFonts w:ascii="Times New Roman" w:hAnsi="Times New Roman"/>
        <w:sz w:val="20"/>
        <w:u w:val="single"/>
      </w:rPr>
      <w:t>Board of Trustees of Illinois State Universit</w:t>
    </w:r>
    <w:r w:rsidR="00D7647E" w:rsidRPr="00D7647E">
      <w:rPr>
        <w:rFonts w:ascii="Times New Roman" w:hAnsi="Times New Roman"/>
        <w:sz w:val="20"/>
        <w:u w:val="single"/>
      </w:rPr>
      <w:t>y – Renewal of Student Health Insurance</w:t>
    </w:r>
    <w:r w:rsidRPr="00D7647E">
      <w:rPr>
        <w:rFonts w:ascii="Times New Roman" w:hAnsi="Times New Roman"/>
        <w:sz w:val="20"/>
        <w:u w:val="single"/>
      </w:rPr>
      <w:t xml:space="preserve">                             Page 2</w:t>
    </w:r>
  </w:p>
  <w:p w:rsidR="00917CAD" w:rsidRPr="00D7647E" w:rsidRDefault="00D7647E" w:rsidP="00F008E8">
    <w:pPr>
      <w:pStyle w:val="Footer"/>
      <w:rPr>
        <w:rFonts w:ascii="Times New Roman" w:hAnsi="Times New Roman"/>
        <w:sz w:val="20"/>
      </w:rPr>
    </w:pPr>
    <w:r w:rsidRPr="00D7647E">
      <w:rPr>
        <w:rFonts w:ascii="Times New Roman" w:hAnsi="Times New Roman"/>
        <w:sz w:val="20"/>
      </w:rPr>
      <w:t>02/20/15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AD" w:rsidRDefault="00917CAD" w:rsidP="007F4BB9">
      <w:r>
        <w:separator/>
      </w:r>
    </w:p>
  </w:footnote>
  <w:footnote w:type="continuationSeparator" w:id="0">
    <w:p w:rsidR="00917CAD" w:rsidRDefault="00917CAD" w:rsidP="007F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6680"/>
    <w:multiLevelType w:val="hybridMultilevel"/>
    <w:tmpl w:val="650AA404"/>
    <w:lvl w:ilvl="0" w:tplc="403A57F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D34"/>
    <w:rsid w:val="00092B86"/>
    <w:rsid w:val="000E5056"/>
    <w:rsid w:val="000F0251"/>
    <w:rsid w:val="000F0CD6"/>
    <w:rsid w:val="001338A2"/>
    <w:rsid w:val="00167C03"/>
    <w:rsid w:val="00195A06"/>
    <w:rsid w:val="001B5D99"/>
    <w:rsid w:val="001C350C"/>
    <w:rsid w:val="001D50A7"/>
    <w:rsid w:val="001F5E04"/>
    <w:rsid w:val="00210C64"/>
    <w:rsid w:val="00266A66"/>
    <w:rsid w:val="00275A41"/>
    <w:rsid w:val="002E0561"/>
    <w:rsid w:val="00307AEA"/>
    <w:rsid w:val="003D06AF"/>
    <w:rsid w:val="003D1A17"/>
    <w:rsid w:val="003F3097"/>
    <w:rsid w:val="00447D5C"/>
    <w:rsid w:val="004625C4"/>
    <w:rsid w:val="00467123"/>
    <w:rsid w:val="0049192A"/>
    <w:rsid w:val="004A230C"/>
    <w:rsid w:val="004B5929"/>
    <w:rsid w:val="004E5C61"/>
    <w:rsid w:val="004F2F88"/>
    <w:rsid w:val="00506FBD"/>
    <w:rsid w:val="005074E4"/>
    <w:rsid w:val="00515725"/>
    <w:rsid w:val="005267E3"/>
    <w:rsid w:val="0056203F"/>
    <w:rsid w:val="005C2FA5"/>
    <w:rsid w:val="005E4D37"/>
    <w:rsid w:val="005F53A2"/>
    <w:rsid w:val="00650757"/>
    <w:rsid w:val="00651E4A"/>
    <w:rsid w:val="00657D34"/>
    <w:rsid w:val="00687D23"/>
    <w:rsid w:val="006E10DC"/>
    <w:rsid w:val="006E5C7E"/>
    <w:rsid w:val="00731863"/>
    <w:rsid w:val="0075161E"/>
    <w:rsid w:val="00794BCB"/>
    <w:rsid w:val="007A6922"/>
    <w:rsid w:val="007B6120"/>
    <w:rsid w:val="007F4BB9"/>
    <w:rsid w:val="00817E81"/>
    <w:rsid w:val="008622E5"/>
    <w:rsid w:val="0087104F"/>
    <w:rsid w:val="00892854"/>
    <w:rsid w:val="008B584D"/>
    <w:rsid w:val="008C662B"/>
    <w:rsid w:val="008D14F6"/>
    <w:rsid w:val="00917CAD"/>
    <w:rsid w:val="00926033"/>
    <w:rsid w:val="00956015"/>
    <w:rsid w:val="00966281"/>
    <w:rsid w:val="009814EE"/>
    <w:rsid w:val="009A11DC"/>
    <w:rsid w:val="009B5766"/>
    <w:rsid w:val="009E1DE2"/>
    <w:rsid w:val="00A2168B"/>
    <w:rsid w:val="00A272D1"/>
    <w:rsid w:val="00A305E4"/>
    <w:rsid w:val="00A51EB4"/>
    <w:rsid w:val="00A5622C"/>
    <w:rsid w:val="00B02F10"/>
    <w:rsid w:val="00B04526"/>
    <w:rsid w:val="00B2620B"/>
    <w:rsid w:val="00B46FF9"/>
    <w:rsid w:val="00B7502A"/>
    <w:rsid w:val="00B844F0"/>
    <w:rsid w:val="00B8670D"/>
    <w:rsid w:val="00B92C6D"/>
    <w:rsid w:val="00BD6D12"/>
    <w:rsid w:val="00BE1742"/>
    <w:rsid w:val="00C42648"/>
    <w:rsid w:val="00C70EF6"/>
    <w:rsid w:val="00C94B5F"/>
    <w:rsid w:val="00CD28D8"/>
    <w:rsid w:val="00D076B9"/>
    <w:rsid w:val="00D102E4"/>
    <w:rsid w:val="00D443AE"/>
    <w:rsid w:val="00D7647E"/>
    <w:rsid w:val="00DD7E05"/>
    <w:rsid w:val="00DF15D3"/>
    <w:rsid w:val="00E03098"/>
    <w:rsid w:val="00E0662C"/>
    <w:rsid w:val="00E43169"/>
    <w:rsid w:val="00E47429"/>
    <w:rsid w:val="00E53E1B"/>
    <w:rsid w:val="00E95BFF"/>
    <w:rsid w:val="00EC21E7"/>
    <w:rsid w:val="00EC6ED5"/>
    <w:rsid w:val="00F008E8"/>
    <w:rsid w:val="00F54DA2"/>
    <w:rsid w:val="00FA17DC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paragraph" w:styleId="Heading1">
    <w:name w:val="heading 1"/>
    <w:basedOn w:val="Normal"/>
    <w:next w:val="Normal"/>
    <w:link w:val="Heading1Char"/>
    <w:qFormat/>
    <w:rsid w:val="00917CAD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17CAD"/>
    <w:pPr>
      <w:keepNext/>
      <w:tabs>
        <w:tab w:val="center" w:pos="8550"/>
      </w:tabs>
      <w:ind w:right="450"/>
      <w:jc w:val="both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7CAD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17CAD"/>
    <w:rPr>
      <w:rFonts w:ascii="CG Times (WN)" w:eastAsia="Times New Roman" w:hAnsi="CG Times (WN)"/>
      <w:b/>
      <w:u w:val="single"/>
    </w:rPr>
  </w:style>
  <w:style w:type="paragraph" w:styleId="Subtitle">
    <w:name w:val="Subtitle"/>
    <w:basedOn w:val="Normal"/>
    <w:link w:val="SubtitleChar"/>
    <w:qFormat/>
    <w:rsid w:val="00917CAD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17CAD"/>
    <w:rPr>
      <w:rFonts w:eastAsia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917CAD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17CA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K Peel,</dc:creator>
  <cp:lastModifiedBy>cissadmin</cp:lastModifiedBy>
  <cp:revision>5</cp:revision>
  <cp:lastPrinted>2015-01-28T15:26:00Z</cp:lastPrinted>
  <dcterms:created xsi:type="dcterms:W3CDTF">2015-01-23T15:43:00Z</dcterms:created>
  <dcterms:modified xsi:type="dcterms:W3CDTF">2015-01-28T15:27:00Z</dcterms:modified>
</cp:coreProperties>
</file>