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7237C5" w:rsidRDefault="007237C5" w:rsidP="006E54DC">
      <w:pPr>
        <w:pStyle w:val="Caption"/>
        <w:framePr w:h="4790" w:wrap="auto" w:y="-269"/>
      </w:pPr>
      <w:r>
        <w:t>Board of</w:t>
      </w: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7237C5" w:rsidRDefault="007237C5" w:rsidP="006E54DC">
      <w:pPr>
        <w:framePr w:w="2830" w:h="4790" w:hSpace="180" w:wrap="auto" w:vAnchor="text" w:hAnchor="page" w:x="8557" w:y="-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7237C5" w:rsidRDefault="007237C5">
      <w:pPr>
        <w:ind w:left="5760"/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Pr="009D1537" w:rsidRDefault="007237C5">
      <w:pPr>
        <w:ind w:right="450"/>
        <w:jc w:val="both"/>
        <w:rPr>
          <w:b/>
          <w:i/>
          <w:sz w:val="20"/>
          <w:u w:val="single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ind w:right="450"/>
        <w:jc w:val="both"/>
        <w:rPr>
          <w:sz w:val="20"/>
        </w:rPr>
      </w:pPr>
    </w:p>
    <w:p w:rsidR="007237C5" w:rsidRDefault="007237C5">
      <w:pPr>
        <w:tabs>
          <w:tab w:val="decimal" w:pos="8640"/>
        </w:tabs>
        <w:ind w:right="450"/>
        <w:jc w:val="both"/>
        <w:rPr>
          <w:sz w:val="20"/>
        </w:rPr>
      </w:pPr>
    </w:p>
    <w:p w:rsidR="007237C5" w:rsidRDefault="007237C5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237C5" w:rsidRPr="00D57FEF" w:rsidRDefault="007237C5" w:rsidP="0065643B">
      <w:pPr>
        <w:tabs>
          <w:tab w:val="center" w:pos="8550"/>
        </w:tabs>
        <w:ind w:right="-990"/>
        <w:jc w:val="both"/>
        <w:rPr>
          <w:rFonts w:ascii="Times New Roman" w:hAnsi="Times New Roman"/>
          <w:b/>
          <w:sz w:val="20"/>
        </w:rPr>
      </w:pPr>
    </w:p>
    <w:p w:rsidR="007237C5" w:rsidRPr="00267A89" w:rsidRDefault="00267A89" w:rsidP="00267A89">
      <w:pPr>
        <w:tabs>
          <w:tab w:val="center" w:pos="8190"/>
        </w:tabs>
        <w:ind w:right="-99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ab/>
      </w:r>
      <w:r w:rsidRPr="00267A89">
        <w:rPr>
          <w:rFonts w:ascii="Times New Roman" w:hAnsi="Times New Roman"/>
          <w:b/>
          <w:sz w:val="20"/>
          <w:u w:val="single"/>
        </w:rPr>
        <w:t>Resolution No. 2017.01/04</w:t>
      </w:r>
    </w:p>
    <w:p w:rsidR="00267A89" w:rsidRPr="00267A89" w:rsidRDefault="00267A89" w:rsidP="00267A89">
      <w:pPr>
        <w:tabs>
          <w:tab w:val="center" w:pos="8190"/>
        </w:tabs>
        <w:ind w:right="-990"/>
        <w:rPr>
          <w:rFonts w:ascii="Times New Roman" w:hAnsi="Times New Roman"/>
          <w:b/>
          <w:sz w:val="20"/>
          <w:u w:val="single"/>
        </w:rPr>
      </w:pPr>
      <w:r w:rsidRPr="00267A89">
        <w:rPr>
          <w:rFonts w:ascii="Times New Roman" w:hAnsi="Times New Roman"/>
          <w:b/>
          <w:sz w:val="20"/>
        </w:rPr>
        <w:tab/>
      </w:r>
      <w:r w:rsidR="001246F0">
        <w:rPr>
          <w:rFonts w:ascii="Times New Roman" w:hAnsi="Times New Roman"/>
          <w:b/>
          <w:sz w:val="20"/>
          <w:u w:val="single"/>
        </w:rPr>
        <w:t>Renewal of</w:t>
      </w:r>
    </w:p>
    <w:p w:rsidR="00267A89" w:rsidRPr="00267A89" w:rsidRDefault="00267A89" w:rsidP="00267A89">
      <w:pPr>
        <w:tabs>
          <w:tab w:val="center" w:pos="8190"/>
        </w:tabs>
        <w:ind w:right="-990"/>
        <w:rPr>
          <w:rFonts w:ascii="Times New Roman" w:hAnsi="Times New Roman"/>
          <w:b/>
          <w:sz w:val="20"/>
        </w:rPr>
      </w:pPr>
      <w:r w:rsidRPr="00267A89">
        <w:rPr>
          <w:rFonts w:ascii="Times New Roman" w:hAnsi="Times New Roman"/>
          <w:b/>
          <w:sz w:val="20"/>
        </w:rPr>
        <w:tab/>
      </w:r>
      <w:r w:rsidRPr="00267A89">
        <w:rPr>
          <w:rFonts w:ascii="Times New Roman" w:hAnsi="Times New Roman"/>
          <w:b/>
          <w:sz w:val="20"/>
          <w:u w:val="single"/>
        </w:rPr>
        <w:t>Student Health Insurance</w:t>
      </w:r>
    </w:p>
    <w:p w:rsidR="00071311" w:rsidRDefault="00071311" w:rsidP="0065643B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</w:p>
    <w:p w:rsidR="00455956" w:rsidRPr="00267A89" w:rsidRDefault="00455956" w:rsidP="0065643B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</w:p>
    <w:p w:rsidR="00267A89" w:rsidRPr="00455956" w:rsidRDefault="00455956" w:rsidP="003F6D19">
      <w:pPr>
        <w:rPr>
          <w:rFonts w:ascii="Times New Roman" w:hAnsi="Times New Roman"/>
          <w:b/>
          <w:sz w:val="20"/>
          <w:u w:val="single"/>
        </w:rPr>
      </w:pPr>
      <w:r w:rsidRPr="00455956">
        <w:rPr>
          <w:rFonts w:ascii="Times New Roman" w:hAnsi="Times New Roman"/>
          <w:b/>
          <w:sz w:val="20"/>
          <w:u w:val="single"/>
        </w:rPr>
        <w:t>Resolution</w:t>
      </w:r>
    </w:p>
    <w:p w:rsidR="00267A89" w:rsidRDefault="00267A89" w:rsidP="003F6D19">
      <w:pPr>
        <w:rPr>
          <w:rFonts w:ascii="Times New Roman" w:hAnsi="Times New Roman"/>
          <w:sz w:val="20"/>
        </w:rPr>
      </w:pPr>
    </w:p>
    <w:p w:rsidR="003F6D19" w:rsidRPr="00267A89" w:rsidRDefault="003F6D19" w:rsidP="003F6D19">
      <w:pPr>
        <w:rPr>
          <w:rFonts w:ascii="Times New Roman" w:hAnsi="Times New Roman"/>
          <w:sz w:val="20"/>
        </w:rPr>
      </w:pPr>
      <w:r w:rsidRPr="00267A89">
        <w:rPr>
          <w:rFonts w:ascii="Times New Roman" w:hAnsi="Times New Roman"/>
          <w:sz w:val="20"/>
        </w:rPr>
        <w:t>Whereas, the University’s Student Health and Acc</w:t>
      </w:r>
      <w:r w:rsidR="00071311" w:rsidRPr="00267A89">
        <w:rPr>
          <w:rFonts w:ascii="Times New Roman" w:hAnsi="Times New Roman"/>
          <w:sz w:val="20"/>
        </w:rPr>
        <w:t xml:space="preserve">ident Plan will expire August </w:t>
      </w:r>
      <w:r w:rsidR="00F82F27" w:rsidRPr="00267A89">
        <w:rPr>
          <w:rFonts w:ascii="Times New Roman" w:hAnsi="Times New Roman"/>
          <w:sz w:val="20"/>
        </w:rPr>
        <w:t>2</w:t>
      </w:r>
      <w:r w:rsidR="005B5860" w:rsidRPr="00267A89">
        <w:rPr>
          <w:rFonts w:ascii="Times New Roman" w:hAnsi="Times New Roman"/>
          <w:sz w:val="20"/>
        </w:rPr>
        <w:t>0</w:t>
      </w:r>
      <w:r w:rsidR="00071311" w:rsidRPr="00267A89">
        <w:rPr>
          <w:rFonts w:ascii="Times New Roman" w:hAnsi="Times New Roman"/>
          <w:sz w:val="20"/>
        </w:rPr>
        <w:t>, 201</w:t>
      </w:r>
      <w:r w:rsidR="005B5860" w:rsidRPr="00267A89">
        <w:rPr>
          <w:rFonts w:ascii="Times New Roman" w:hAnsi="Times New Roman"/>
          <w:sz w:val="20"/>
        </w:rPr>
        <w:t>7</w:t>
      </w:r>
      <w:r w:rsidRPr="00267A89">
        <w:rPr>
          <w:rFonts w:ascii="Times New Roman" w:hAnsi="Times New Roman"/>
          <w:sz w:val="20"/>
        </w:rPr>
        <w:t>, and</w:t>
      </w:r>
    </w:p>
    <w:p w:rsidR="003F6D19" w:rsidRPr="00267A89" w:rsidRDefault="003F6D19" w:rsidP="003F6D19">
      <w:pPr>
        <w:rPr>
          <w:rFonts w:ascii="Times New Roman" w:hAnsi="Times New Roman"/>
          <w:sz w:val="20"/>
        </w:rPr>
      </w:pPr>
    </w:p>
    <w:p w:rsidR="003F6D19" w:rsidRPr="00267A89" w:rsidRDefault="003F6D19" w:rsidP="003F6D19">
      <w:pPr>
        <w:rPr>
          <w:rFonts w:ascii="Times New Roman" w:hAnsi="Times New Roman"/>
          <w:sz w:val="20"/>
        </w:rPr>
      </w:pPr>
      <w:r w:rsidRPr="00267A89">
        <w:rPr>
          <w:rFonts w:ascii="Times New Roman" w:hAnsi="Times New Roman"/>
          <w:sz w:val="20"/>
        </w:rPr>
        <w:t xml:space="preserve">Whereas, </w:t>
      </w:r>
      <w:r w:rsidR="00071311" w:rsidRPr="00267A89">
        <w:rPr>
          <w:rFonts w:ascii="Times New Roman" w:hAnsi="Times New Roman"/>
          <w:sz w:val="20"/>
        </w:rPr>
        <w:t xml:space="preserve">the Board of Trustees approved the current agreement with Aetna Student Health for the 2012-13 policy year at its February 17, 2012 meeting which included a provision for up to nine renewal periods upon mutual agreement between Illinois State University and Aetna Student Health, and  </w:t>
      </w:r>
    </w:p>
    <w:p w:rsidR="00071311" w:rsidRPr="00267A89" w:rsidRDefault="00071311" w:rsidP="003F6D19">
      <w:pPr>
        <w:rPr>
          <w:rFonts w:ascii="Times New Roman" w:hAnsi="Times New Roman"/>
          <w:sz w:val="20"/>
        </w:rPr>
      </w:pPr>
    </w:p>
    <w:p w:rsidR="00071311" w:rsidRPr="00267A89" w:rsidRDefault="00071311" w:rsidP="00071311">
      <w:pPr>
        <w:rPr>
          <w:rFonts w:ascii="Times New Roman" w:hAnsi="Times New Roman"/>
          <w:sz w:val="20"/>
        </w:rPr>
      </w:pPr>
      <w:r w:rsidRPr="00267A89">
        <w:rPr>
          <w:rFonts w:ascii="Times New Roman" w:hAnsi="Times New Roman"/>
          <w:sz w:val="20"/>
        </w:rPr>
        <w:t xml:space="preserve">Whereas, this is the </w:t>
      </w:r>
      <w:r w:rsidR="00F82F27" w:rsidRPr="00267A89">
        <w:rPr>
          <w:rFonts w:ascii="Times New Roman" w:hAnsi="Times New Roman"/>
          <w:sz w:val="20"/>
        </w:rPr>
        <w:t>f</w:t>
      </w:r>
      <w:r w:rsidR="005B5860" w:rsidRPr="00267A89">
        <w:rPr>
          <w:rFonts w:ascii="Times New Roman" w:hAnsi="Times New Roman"/>
          <w:sz w:val="20"/>
        </w:rPr>
        <w:t>ifth</w:t>
      </w:r>
      <w:r w:rsidRPr="00267A89">
        <w:rPr>
          <w:rFonts w:ascii="Times New Roman" w:hAnsi="Times New Roman"/>
          <w:sz w:val="20"/>
        </w:rPr>
        <w:t xml:space="preserve"> renewal between Illinois State Unive</w:t>
      </w:r>
      <w:r w:rsidR="00455956">
        <w:rPr>
          <w:rFonts w:ascii="Times New Roman" w:hAnsi="Times New Roman"/>
          <w:sz w:val="20"/>
        </w:rPr>
        <w:t>rsity and Aetna Student Health;</w:t>
      </w:r>
    </w:p>
    <w:p w:rsidR="00071311" w:rsidRPr="00267A89" w:rsidRDefault="00071311" w:rsidP="00071311">
      <w:pPr>
        <w:rPr>
          <w:rFonts w:ascii="Times New Roman" w:hAnsi="Times New Roman"/>
          <w:sz w:val="20"/>
        </w:rPr>
      </w:pPr>
    </w:p>
    <w:p w:rsidR="00071311" w:rsidRPr="00267A89" w:rsidRDefault="00071311" w:rsidP="00071311">
      <w:pPr>
        <w:rPr>
          <w:rFonts w:ascii="Times New Roman" w:hAnsi="Times New Roman"/>
          <w:sz w:val="20"/>
        </w:rPr>
      </w:pPr>
      <w:r w:rsidRPr="00267A89">
        <w:rPr>
          <w:rFonts w:ascii="Times New Roman" w:hAnsi="Times New Roman"/>
          <w:sz w:val="20"/>
        </w:rPr>
        <w:t>Therefore, be it resolved that the Board of Trustees of Illinois State University awards to Aetna Student Health the renewed agreement for the 201</w:t>
      </w:r>
      <w:r w:rsidR="005B5860" w:rsidRPr="00267A89">
        <w:rPr>
          <w:rFonts w:ascii="Times New Roman" w:hAnsi="Times New Roman"/>
          <w:sz w:val="20"/>
        </w:rPr>
        <w:t>7</w:t>
      </w:r>
      <w:r w:rsidRPr="00267A89">
        <w:rPr>
          <w:rFonts w:ascii="Times New Roman" w:hAnsi="Times New Roman"/>
          <w:sz w:val="20"/>
        </w:rPr>
        <w:t>-201</w:t>
      </w:r>
      <w:r w:rsidR="005B5860" w:rsidRPr="00267A89">
        <w:rPr>
          <w:rFonts w:ascii="Times New Roman" w:hAnsi="Times New Roman"/>
          <w:sz w:val="20"/>
        </w:rPr>
        <w:t>8</w:t>
      </w:r>
      <w:r w:rsidRPr="00267A89">
        <w:rPr>
          <w:rFonts w:ascii="Times New Roman" w:hAnsi="Times New Roman"/>
          <w:sz w:val="20"/>
        </w:rPr>
        <w:t xml:space="preserve"> policy year.</w:t>
      </w:r>
    </w:p>
    <w:p w:rsidR="00071311" w:rsidRPr="00267A89" w:rsidRDefault="00071311" w:rsidP="00071311">
      <w:pPr>
        <w:rPr>
          <w:rFonts w:ascii="Times New Roman" w:hAnsi="Times New Roman"/>
          <w:sz w:val="20"/>
        </w:rPr>
      </w:pPr>
    </w:p>
    <w:p w:rsidR="003F6D19" w:rsidRPr="00267A89" w:rsidRDefault="00455956" w:rsidP="00071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Therefore, b</w:t>
      </w:r>
      <w:r w:rsidR="00071311" w:rsidRPr="00267A89">
        <w:rPr>
          <w:rFonts w:ascii="Times New Roman" w:hAnsi="Times New Roman"/>
          <w:sz w:val="20"/>
        </w:rPr>
        <w:t>e it further resolved that the Board of Trustees approves the student health insurance rate of $249 for the fall 201</w:t>
      </w:r>
      <w:r w:rsidR="005B5860" w:rsidRPr="00267A89">
        <w:rPr>
          <w:rFonts w:ascii="Times New Roman" w:hAnsi="Times New Roman"/>
          <w:sz w:val="20"/>
        </w:rPr>
        <w:t>7</w:t>
      </w:r>
      <w:r w:rsidR="00071311" w:rsidRPr="00267A89">
        <w:rPr>
          <w:rFonts w:ascii="Times New Roman" w:hAnsi="Times New Roman"/>
          <w:sz w:val="20"/>
        </w:rPr>
        <w:t xml:space="preserve"> and spring 201</w:t>
      </w:r>
      <w:r w:rsidR="005B5860" w:rsidRPr="00267A89">
        <w:rPr>
          <w:rFonts w:ascii="Times New Roman" w:hAnsi="Times New Roman"/>
          <w:sz w:val="20"/>
        </w:rPr>
        <w:t>8</w:t>
      </w:r>
      <w:r w:rsidR="00071311" w:rsidRPr="00267A89">
        <w:rPr>
          <w:rFonts w:ascii="Times New Roman" w:hAnsi="Times New Roman"/>
          <w:sz w:val="20"/>
        </w:rPr>
        <w:t xml:space="preserve"> sessions and $187 for the summer 201</w:t>
      </w:r>
      <w:r w:rsidR="005B5860" w:rsidRPr="00267A89">
        <w:rPr>
          <w:rFonts w:ascii="Times New Roman" w:hAnsi="Times New Roman"/>
          <w:sz w:val="20"/>
        </w:rPr>
        <w:t>8</w:t>
      </w:r>
      <w:r w:rsidR="00071311" w:rsidRPr="00267A89">
        <w:rPr>
          <w:rFonts w:ascii="Times New Roman" w:hAnsi="Times New Roman"/>
          <w:sz w:val="20"/>
        </w:rPr>
        <w:t xml:space="preserve"> session.</w:t>
      </w:r>
    </w:p>
    <w:p w:rsidR="00071311" w:rsidRPr="00267A89" w:rsidRDefault="00071311" w:rsidP="00071311">
      <w:pPr>
        <w:rPr>
          <w:rFonts w:ascii="Times New Roman" w:hAnsi="Times New Roman"/>
          <w:sz w:val="20"/>
        </w:rPr>
      </w:pPr>
    </w:p>
    <w:p w:rsidR="00071311" w:rsidRPr="00267A89" w:rsidRDefault="00071311" w:rsidP="00267A89">
      <w:pPr>
        <w:pBdr>
          <w:bottom w:val="single" w:sz="12" w:space="1" w:color="auto"/>
        </w:pBdr>
        <w:tabs>
          <w:tab w:val="center" w:pos="8550"/>
        </w:tabs>
        <w:ind w:right="-720"/>
        <w:jc w:val="both"/>
        <w:rPr>
          <w:rFonts w:ascii="Times New Roman" w:hAnsi="Times New Roman"/>
          <w:sz w:val="20"/>
        </w:rPr>
      </w:pPr>
    </w:p>
    <w:p w:rsidR="00267A89" w:rsidRPr="00CB221D" w:rsidRDefault="00267A89" w:rsidP="00267A89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CB221D">
        <w:rPr>
          <w:rFonts w:ascii="Times New Roman" w:hAnsi="Times New Roman"/>
          <w:sz w:val="20"/>
        </w:rPr>
        <w:t>Board Action on:</w:t>
      </w:r>
      <w:r w:rsidRPr="00CB221D">
        <w:rPr>
          <w:rFonts w:ascii="Times New Roman" w:hAnsi="Times New Roman"/>
          <w:sz w:val="20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</w:rPr>
        <w:tab/>
        <w:t>Postpone:</w:t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</w:p>
    <w:p w:rsidR="00267A89" w:rsidRPr="00CB221D" w:rsidRDefault="00267A89" w:rsidP="00267A89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CB221D">
        <w:rPr>
          <w:rFonts w:ascii="Times New Roman" w:hAnsi="Times New Roman"/>
          <w:sz w:val="20"/>
        </w:rPr>
        <w:tab/>
        <w:t>Motion by:</w:t>
      </w:r>
      <w:r w:rsidRPr="00CB221D">
        <w:rPr>
          <w:rFonts w:ascii="Times New Roman" w:hAnsi="Times New Roman"/>
          <w:sz w:val="20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</w:rPr>
        <w:tab/>
        <w:t>Amend:</w:t>
      </w:r>
      <w:r w:rsidRPr="00CB221D">
        <w:rPr>
          <w:rFonts w:ascii="Times New Roman" w:hAnsi="Times New Roman"/>
          <w:sz w:val="20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</w:p>
    <w:p w:rsidR="00267A89" w:rsidRPr="00CB221D" w:rsidRDefault="00267A89" w:rsidP="00267A89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CB221D">
        <w:rPr>
          <w:rFonts w:ascii="Times New Roman" w:hAnsi="Times New Roman"/>
          <w:sz w:val="20"/>
        </w:rPr>
        <w:tab/>
        <w:t>Second by:</w:t>
      </w:r>
      <w:r w:rsidRPr="00CB221D">
        <w:rPr>
          <w:rFonts w:ascii="Times New Roman" w:hAnsi="Times New Roman"/>
          <w:sz w:val="20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</w:rPr>
        <w:tab/>
        <w:t>Disapprove:</w:t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</w:p>
    <w:p w:rsidR="00267A89" w:rsidRPr="00CB221D" w:rsidRDefault="00267A89" w:rsidP="00267A89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CB221D">
        <w:rPr>
          <w:rFonts w:ascii="Times New Roman" w:hAnsi="Times New Roman"/>
          <w:sz w:val="20"/>
        </w:rPr>
        <w:tab/>
        <w:t>Vote:</w:t>
      </w:r>
      <w:r w:rsidRPr="00CB221D">
        <w:rPr>
          <w:rFonts w:ascii="Times New Roman" w:hAnsi="Times New Roman"/>
          <w:sz w:val="20"/>
        </w:rPr>
        <w:tab/>
        <w:t>Yeas:</w:t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</w:rPr>
        <w:t>Nays:</w:t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</w:rPr>
        <w:tab/>
        <w:t>Approve:</w:t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  <w:r w:rsidRPr="00CB221D">
        <w:rPr>
          <w:rFonts w:ascii="Times New Roman" w:hAnsi="Times New Roman"/>
          <w:sz w:val="20"/>
          <w:u w:val="single"/>
        </w:rPr>
        <w:tab/>
      </w:r>
    </w:p>
    <w:p w:rsidR="00267A89" w:rsidRPr="00CB221D" w:rsidRDefault="00267A89" w:rsidP="00267A89">
      <w:pPr>
        <w:ind w:right="-810"/>
        <w:jc w:val="both"/>
        <w:rPr>
          <w:rFonts w:ascii="Times New Roman" w:hAnsi="Times New Roman"/>
          <w:sz w:val="20"/>
        </w:rPr>
      </w:pPr>
    </w:p>
    <w:p w:rsidR="00267A89" w:rsidRPr="00CB221D" w:rsidRDefault="00267A89" w:rsidP="00267A89">
      <w:pPr>
        <w:ind w:right="-810"/>
        <w:jc w:val="both"/>
        <w:rPr>
          <w:rFonts w:ascii="Times New Roman" w:hAnsi="Times New Roman"/>
          <w:sz w:val="20"/>
        </w:rPr>
      </w:pPr>
    </w:p>
    <w:p w:rsidR="00267A89" w:rsidRPr="00CB221D" w:rsidRDefault="00267A89" w:rsidP="00267A89">
      <w:pPr>
        <w:ind w:right="-90"/>
        <w:jc w:val="right"/>
        <w:rPr>
          <w:rFonts w:ascii="Times New Roman" w:hAnsi="Times New Roman"/>
          <w:sz w:val="20"/>
          <w:u w:val="single"/>
        </w:rPr>
      </w:pPr>
      <w:r w:rsidRPr="00CB221D">
        <w:rPr>
          <w:rFonts w:ascii="Times New Roman" w:hAnsi="Times New Roman"/>
          <w:sz w:val="20"/>
          <w:u w:val="single"/>
        </w:rPr>
        <w:t>ATTEST</w:t>
      </w:r>
      <w:r w:rsidR="00D42CD7">
        <w:rPr>
          <w:rFonts w:ascii="Times New Roman" w:hAnsi="Times New Roman"/>
          <w:sz w:val="20"/>
          <w:u w:val="single"/>
        </w:rPr>
        <w:t>: Board Action, January 13, 2017</w:t>
      </w:r>
    </w:p>
    <w:p w:rsidR="00267A89" w:rsidRPr="00CB221D" w:rsidRDefault="00267A89" w:rsidP="00267A89">
      <w:pPr>
        <w:ind w:right="-90"/>
        <w:jc w:val="right"/>
        <w:rPr>
          <w:rFonts w:ascii="Times New Roman" w:hAnsi="Times New Roman"/>
          <w:sz w:val="20"/>
        </w:rPr>
      </w:pPr>
    </w:p>
    <w:p w:rsidR="00267A89" w:rsidRPr="00CB221D" w:rsidRDefault="00267A89" w:rsidP="00267A89">
      <w:pPr>
        <w:ind w:right="-90"/>
        <w:jc w:val="right"/>
        <w:rPr>
          <w:rFonts w:ascii="Times New Roman" w:hAnsi="Times New Roman"/>
          <w:sz w:val="20"/>
        </w:rPr>
      </w:pPr>
      <w:r w:rsidRPr="00CB221D">
        <w:rPr>
          <w:rFonts w:ascii="Times New Roman" w:hAnsi="Times New Roman"/>
          <w:sz w:val="20"/>
        </w:rPr>
        <w:t>_________________________________</w:t>
      </w:r>
    </w:p>
    <w:p w:rsidR="00267A89" w:rsidRPr="00455956" w:rsidRDefault="00267A89" w:rsidP="00267A89">
      <w:pPr>
        <w:tabs>
          <w:tab w:val="right" w:pos="873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sz w:val="22"/>
          <w:szCs w:val="22"/>
        </w:rPr>
        <w:tab/>
        <w:t>Secretary/Chairperson</w:t>
      </w:r>
      <w:r>
        <w:rPr>
          <w:sz w:val="22"/>
          <w:szCs w:val="22"/>
        </w:rPr>
        <w:br w:type="page"/>
      </w:r>
      <w:r w:rsidRPr="00455956">
        <w:rPr>
          <w:rFonts w:ascii="Times New Roman" w:hAnsi="Times New Roman"/>
          <w:sz w:val="20"/>
        </w:rPr>
        <w:lastRenderedPageBreak/>
        <w:tab/>
      </w:r>
    </w:p>
    <w:p w:rsidR="00071311" w:rsidRPr="00455956" w:rsidRDefault="00380E70" w:rsidP="00071311">
      <w:pPr>
        <w:jc w:val="center"/>
        <w:rPr>
          <w:rFonts w:ascii="Times New Roman" w:hAnsi="Times New Roman"/>
          <w:sz w:val="20"/>
        </w:rPr>
      </w:pPr>
      <w:r w:rsidRPr="00455956">
        <w:rPr>
          <w:rFonts w:ascii="Times New Roman" w:hAnsi="Times New Roman"/>
          <w:sz w:val="20"/>
        </w:rPr>
        <w:t>Renewal of Student Health Insurance Plan</w:t>
      </w:r>
    </w:p>
    <w:p w:rsidR="00071311" w:rsidRPr="00455956" w:rsidRDefault="00071311" w:rsidP="00071311">
      <w:pPr>
        <w:jc w:val="center"/>
        <w:rPr>
          <w:rFonts w:ascii="Times New Roman" w:hAnsi="Times New Roman"/>
          <w:sz w:val="20"/>
        </w:rPr>
      </w:pPr>
      <w:r w:rsidRPr="00455956">
        <w:rPr>
          <w:rFonts w:ascii="Times New Roman" w:hAnsi="Times New Roman"/>
          <w:sz w:val="20"/>
        </w:rPr>
        <w:t>For Policy Year 201</w:t>
      </w:r>
      <w:r w:rsidR="005B5860" w:rsidRPr="00455956">
        <w:rPr>
          <w:rFonts w:ascii="Times New Roman" w:hAnsi="Times New Roman"/>
          <w:sz w:val="20"/>
        </w:rPr>
        <w:t>7</w:t>
      </w:r>
      <w:r w:rsidRPr="00455956">
        <w:rPr>
          <w:rFonts w:ascii="Times New Roman" w:hAnsi="Times New Roman"/>
          <w:sz w:val="20"/>
        </w:rPr>
        <w:t>-201</w:t>
      </w:r>
      <w:r w:rsidR="005B5860" w:rsidRPr="00455956">
        <w:rPr>
          <w:rFonts w:ascii="Times New Roman" w:hAnsi="Times New Roman"/>
          <w:sz w:val="20"/>
        </w:rPr>
        <w:t>8</w:t>
      </w:r>
    </w:p>
    <w:p w:rsidR="00380E70" w:rsidRPr="00455956" w:rsidRDefault="00380E70" w:rsidP="00071311">
      <w:pPr>
        <w:jc w:val="center"/>
        <w:rPr>
          <w:rFonts w:ascii="Times New Roman" w:hAnsi="Times New Roman"/>
          <w:sz w:val="20"/>
        </w:rPr>
      </w:pPr>
    </w:p>
    <w:p w:rsidR="00380E70" w:rsidRPr="00455956" w:rsidRDefault="00380E70" w:rsidP="00380E70">
      <w:pPr>
        <w:rPr>
          <w:rFonts w:ascii="Times New Roman" w:hAnsi="Times New Roman"/>
          <w:sz w:val="20"/>
        </w:rPr>
      </w:pPr>
      <w:r w:rsidRPr="00455956">
        <w:rPr>
          <w:rFonts w:ascii="Times New Roman" w:hAnsi="Times New Roman"/>
          <w:sz w:val="20"/>
        </w:rPr>
        <w:t xml:space="preserve">Each year Aetna Student Health </w:t>
      </w:r>
      <w:r w:rsidR="00816C91" w:rsidRPr="00455956">
        <w:rPr>
          <w:rFonts w:ascii="Times New Roman" w:hAnsi="Times New Roman"/>
          <w:sz w:val="20"/>
        </w:rPr>
        <w:t xml:space="preserve">(ASH) </w:t>
      </w:r>
      <w:r w:rsidRPr="00455956">
        <w:rPr>
          <w:rFonts w:ascii="Times New Roman" w:hAnsi="Times New Roman"/>
          <w:sz w:val="20"/>
        </w:rPr>
        <w:t xml:space="preserve">develops a renewal percentage that represents the </w:t>
      </w:r>
      <w:r w:rsidR="00416D04" w:rsidRPr="00455956">
        <w:rPr>
          <w:rFonts w:ascii="Times New Roman" w:hAnsi="Times New Roman"/>
          <w:sz w:val="20"/>
        </w:rPr>
        <w:t>increase</w:t>
      </w:r>
      <w:r w:rsidRPr="00455956">
        <w:rPr>
          <w:rFonts w:ascii="Times New Roman" w:hAnsi="Times New Roman"/>
          <w:sz w:val="20"/>
        </w:rPr>
        <w:t xml:space="preserve"> in the plan for the next year.  The percentage is calculated using a mathematical formula that estimates medical trends, pooling charges (</w:t>
      </w:r>
      <w:r w:rsidRPr="00455956">
        <w:rPr>
          <w:rFonts w:ascii="Times New Roman" w:hAnsi="Times New Roman"/>
          <w:sz w:val="20"/>
          <w:lang w:val="en"/>
        </w:rPr>
        <w:t xml:space="preserve">method by which each member of an insurance pool shares in each and every risk written by the other members of the pool), </w:t>
      </w:r>
      <w:r w:rsidRPr="00455956">
        <w:rPr>
          <w:rFonts w:ascii="Times New Roman" w:hAnsi="Times New Roman"/>
          <w:sz w:val="20"/>
        </w:rPr>
        <w:t>adjustments in the pooling charge for high dollar claims, impact of plan changes, and any rate increases experienced by the plan.  The formula incorporates a blend of the plan’s most recent two years of claims and premium data that has been used for more than ten years on ISU renewals.</w:t>
      </w:r>
    </w:p>
    <w:p w:rsidR="00380E70" w:rsidRPr="00455956" w:rsidRDefault="00380E70" w:rsidP="00380E70">
      <w:pPr>
        <w:rPr>
          <w:rFonts w:ascii="Times New Roman" w:hAnsi="Times New Roman"/>
          <w:sz w:val="20"/>
        </w:rPr>
      </w:pPr>
    </w:p>
    <w:p w:rsidR="002B3CE2" w:rsidRPr="00455956" w:rsidRDefault="002B3CE2" w:rsidP="00380E70">
      <w:pPr>
        <w:rPr>
          <w:rFonts w:ascii="Times New Roman" w:hAnsi="Times New Roman"/>
          <w:sz w:val="20"/>
        </w:rPr>
      </w:pPr>
      <w:r w:rsidRPr="00455956">
        <w:rPr>
          <w:rFonts w:ascii="Times New Roman" w:hAnsi="Times New Roman"/>
          <w:sz w:val="20"/>
        </w:rPr>
        <w:t>Due to changes mandated by the federal Affordable Care Act (ACA), the S</w:t>
      </w:r>
      <w:r w:rsidR="00816C91" w:rsidRPr="00455956">
        <w:rPr>
          <w:rFonts w:ascii="Times New Roman" w:hAnsi="Times New Roman"/>
          <w:sz w:val="20"/>
        </w:rPr>
        <w:t xml:space="preserve">tudent </w:t>
      </w:r>
      <w:r w:rsidRPr="00455956">
        <w:rPr>
          <w:rFonts w:ascii="Times New Roman" w:hAnsi="Times New Roman"/>
          <w:sz w:val="20"/>
        </w:rPr>
        <w:t>H</w:t>
      </w:r>
      <w:r w:rsidR="00816C91" w:rsidRPr="00455956">
        <w:rPr>
          <w:rFonts w:ascii="Times New Roman" w:hAnsi="Times New Roman"/>
          <w:sz w:val="20"/>
        </w:rPr>
        <w:t xml:space="preserve">ealth </w:t>
      </w:r>
      <w:r w:rsidRPr="00455956">
        <w:rPr>
          <w:rFonts w:ascii="Times New Roman" w:hAnsi="Times New Roman"/>
          <w:sz w:val="20"/>
        </w:rPr>
        <w:t>I</w:t>
      </w:r>
      <w:r w:rsidR="00816C91" w:rsidRPr="00455956">
        <w:rPr>
          <w:rFonts w:ascii="Times New Roman" w:hAnsi="Times New Roman"/>
          <w:sz w:val="20"/>
        </w:rPr>
        <w:t xml:space="preserve">nsurance </w:t>
      </w:r>
      <w:r w:rsidRPr="00455956">
        <w:rPr>
          <w:rFonts w:ascii="Times New Roman" w:hAnsi="Times New Roman"/>
          <w:sz w:val="20"/>
        </w:rPr>
        <w:t>P</w:t>
      </w:r>
      <w:r w:rsidR="00816C91" w:rsidRPr="00455956">
        <w:rPr>
          <w:rFonts w:ascii="Times New Roman" w:hAnsi="Times New Roman"/>
          <w:sz w:val="20"/>
        </w:rPr>
        <w:t>lan</w:t>
      </w:r>
      <w:r w:rsidRPr="00455956">
        <w:rPr>
          <w:rFonts w:ascii="Times New Roman" w:hAnsi="Times New Roman"/>
          <w:sz w:val="20"/>
        </w:rPr>
        <w:t xml:space="preserve"> was required to a</w:t>
      </w:r>
      <w:r w:rsidR="007177BD" w:rsidRPr="00455956">
        <w:rPr>
          <w:rFonts w:ascii="Times New Roman" w:hAnsi="Times New Roman"/>
          <w:sz w:val="20"/>
        </w:rPr>
        <w:t>d</w:t>
      </w:r>
      <w:r w:rsidRPr="00455956">
        <w:rPr>
          <w:rFonts w:ascii="Times New Roman" w:hAnsi="Times New Roman"/>
          <w:sz w:val="20"/>
        </w:rPr>
        <w:t xml:space="preserve">d coverage for additional essential benefits (prescription drugs, habilitation services, pediatric dental and vision services) for the 2014-2015 policy </w:t>
      </w:r>
      <w:proofErr w:type="gramStart"/>
      <w:r w:rsidRPr="00455956">
        <w:rPr>
          <w:rFonts w:ascii="Times New Roman" w:hAnsi="Times New Roman"/>
          <w:sz w:val="20"/>
        </w:rPr>
        <w:t>year</w:t>
      </w:r>
      <w:proofErr w:type="gramEnd"/>
      <w:r w:rsidRPr="00455956">
        <w:rPr>
          <w:rFonts w:ascii="Times New Roman" w:hAnsi="Times New Roman"/>
          <w:sz w:val="20"/>
        </w:rPr>
        <w:t>.  The ACA also required the removal of the pre-existing condition exclusion and the aggregate plan maximum, along with a taxes and fees increase.</w:t>
      </w:r>
      <w:r w:rsidR="0071288A" w:rsidRPr="00455956">
        <w:rPr>
          <w:rFonts w:ascii="Times New Roman" w:hAnsi="Times New Roman"/>
          <w:sz w:val="20"/>
        </w:rPr>
        <w:t xml:space="preserve">  For the 2016-2017 policy </w:t>
      </w:r>
      <w:proofErr w:type="gramStart"/>
      <w:r w:rsidR="0071288A" w:rsidRPr="00455956">
        <w:rPr>
          <w:rFonts w:ascii="Times New Roman" w:hAnsi="Times New Roman"/>
          <w:sz w:val="20"/>
        </w:rPr>
        <w:t>year</w:t>
      </w:r>
      <w:proofErr w:type="gramEnd"/>
      <w:r w:rsidR="0071288A" w:rsidRPr="00455956">
        <w:rPr>
          <w:rFonts w:ascii="Times New Roman" w:hAnsi="Times New Roman"/>
          <w:sz w:val="20"/>
        </w:rPr>
        <w:t xml:space="preserve">, </w:t>
      </w:r>
      <w:r w:rsidR="006D3C8A" w:rsidRPr="00455956">
        <w:rPr>
          <w:rFonts w:ascii="Times New Roman" w:hAnsi="Times New Roman"/>
          <w:sz w:val="20"/>
        </w:rPr>
        <w:t xml:space="preserve">the </w:t>
      </w:r>
      <w:r w:rsidR="000E52BA" w:rsidRPr="00455956">
        <w:rPr>
          <w:rFonts w:ascii="Times New Roman" w:hAnsi="Times New Roman"/>
          <w:sz w:val="20"/>
        </w:rPr>
        <w:t xml:space="preserve">ACA </w:t>
      </w:r>
      <w:r w:rsidR="0071288A" w:rsidRPr="00455956">
        <w:rPr>
          <w:rFonts w:ascii="Times New Roman" w:hAnsi="Times New Roman"/>
          <w:sz w:val="20"/>
        </w:rPr>
        <w:t xml:space="preserve">metallic testing of the plan required a change in benefits.  In order to </w:t>
      </w:r>
      <w:r w:rsidR="00B37AE2" w:rsidRPr="00455956">
        <w:rPr>
          <w:rFonts w:ascii="Times New Roman" w:hAnsi="Times New Roman"/>
          <w:sz w:val="20"/>
        </w:rPr>
        <w:t xml:space="preserve">meet that requirement and </w:t>
      </w:r>
      <w:r w:rsidR="0071288A" w:rsidRPr="00455956">
        <w:rPr>
          <w:rFonts w:ascii="Times New Roman" w:hAnsi="Times New Roman"/>
          <w:sz w:val="20"/>
        </w:rPr>
        <w:t xml:space="preserve">remain a Platinum Plan, the highest rating by </w:t>
      </w:r>
      <w:r w:rsidR="005E7F6C" w:rsidRPr="00455956">
        <w:rPr>
          <w:rFonts w:ascii="Times New Roman" w:hAnsi="Times New Roman"/>
          <w:sz w:val="20"/>
        </w:rPr>
        <w:t xml:space="preserve">the </w:t>
      </w:r>
      <w:r w:rsidR="00416D04" w:rsidRPr="00455956">
        <w:rPr>
          <w:rFonts w:ascii="Times New Roman" w:hAnsi="Times New Roman"/>
          <w:sz w:val="20"/>
        </w:rPr>
        <w:t>ACA, t</w:t>
      </w:r>
      <w:r w:rsidR="0071288A" w:rsidRPr="00455956">
        <w:rPr>
          <w:rFonts w:ascii="Times New Roman" w:hAnsi="Times New Roman"/>
          <w:sz w:val="20"/>
        </w:rPr>
        <w:t>he maximum annual plan out of pocket change</w:t>
      </w:r>
      <w:r w:rsidR="00416D04" w:rsidRPr="00455956">
        <w:rPr>
          <w:rFonts w:ascii="Times New Roman" w:hAnsi="Times New Roman"/>
          <w:sz w:val="20"/>
        </w:rPr>
        <w:t>d</w:t>
      </w:r>
      <w:r w:rsidR="0071288A" w:rsidRPr="00455956">
        <w:rPr>
          <w:rFonts w:ascii="Times New Roman" w:hAnsi="Times New Roman"/>
          <w:sz w:val="20"/>
        </w:rPr>
        <w:t xml:space="preserve"> from $1000 to $1250.</w:t>
      </w:r>
      <w:r w:rsidR="005B5860" w:rsidRPr="00455956">
        <w:rPr>
          <w:rFonts w:ascii="Times New Roman" w:hAnsi="Times New Roman"/>
          <w:sz w:val="20"/>
        </w:rPr>
        <w:t xml:space="preserve">  No significant plan changes are required by the ACA for the 2017-2018 policy </w:t>
      </w:r>
      <w:proofErr w:type="gramStart"/>
      <w:r w:rsidR="005B5860" w:rsidRPr="00455956">
        <w:rPr>
          <w:rFonts w:ascii="Times New Roman" w:hAnsi="Times New Roman"/>
          <w:sz w:val="20"/>
        </w:rPr>
        <w:t>year</w:t>
      </w:r>
      <w:proofErr w:type="gramEnd"/>
      <w:r w:rsidR="005B5860" w:rsidRPr="00455956">
        <w:rPr>
          <w:rFonts w:ascii="Times New Roman" w:hAnsi="Times New Roman"/>
          <w:sz w:val="20"/>
        </w:rPr>
        <w:t>.</w:t>
      </w:r>
      <w:r w:rsidR="0071288A" w:rsidRPr="00455956">
        <w:rPr>
          <w:rFonts w:ascii="Times New Roman" w:hAnsi="Times New Roman"/>
          <w:sz w:val="20"/>
        </w:rPr>
        <w:t xml:space="preserve">  </w:t>
      </w:r>
    </w:p>
    <w:p w:rsidR="002B3CE2" w:rsidRPr="00455956" w:rsidRDefault="002B3CE2" w:rsidP="00380E70">
      <w:pPr>
        <w:rPr>
          <w:rFonts w:ascii="Times New Roman" w:hAnsi="Times New Roman"/>
          <w:sz w:val="20"/>
        </w:rPr>
      </w:pPr>
    </w:p>
    <w:p w:rsidR="002B3CE2" w:rsidRPr="00455956" w:rsidRDefault="00380E70" w:rsidP="00380E70">
      <w:pPr>
        <w:rPr>
          <w:rFonts w:ascii="Times New Roman" w:hAnsi="Times New Roman"/>
          <w:sz w:val="20"/>
        </w:rPr>
      </w:pPr>
      <w:r w:rsidRPr="00455956">
        <w:rPr>
          <w:rFonts w:ascii="Times New Roman" w:hAnsi="Times New Roman"/>
          <w:sz w:val="20"/>
        </w:rPr>
        <w:t>Representatives from the Student Insurance Office and Student Health Services</w:t>
      </w:r>
      <w:r w:rsidR="00FC7D3D" w:rsidRPr="00455956">
        <w:rPr>
          <w:rFonts w:ascii="Times New Roman" w:hAnsi="Times New Roman"/>
          <w:sz w:val="20"/>
        </w:rPr>
        <w:t>,</w:t>
      </w:r>
      <w:r w:rsidRPr="00455956">
        <w:rPr>
          <w:rFonts w:ascii="Times New Roman" w:hAnsi="Times New Roman"/>
          <w:sz w:val="20"/>
        </w:rPr>
        <w:t xml:space="preserve"> with the assistance of a</w:t>
      </w:r>
      <w:r w:rsidR="002B3CE2" w:rsidRPr="00455956">
        <w:rPr>
          <w:rFonts w:ascii="Times New Roman" w:hAnsi="Times New Roman"/>
          <w:sz w:val="20"/>
        </w:rPr>
        <w:t>n</w:t>
      </w:r>
      <w:r w:rsidRPr="00455956">
        <w:rPr>
          <w:rFonts w:ascii="Times New Roman" w:hAnsi="Times New Roman"/>
          <w:sz w:val="20"/>
        </w:rPr>
        <w:t xml:space="preserve"> insurance plan consultant </w:t>
      </w:r>
      <w:r w:rsidR="002B3CE2" w:rsidRPr="00455956">
        <w:rPr>
          <w:rFonts w:ascii="Times New Roman" w:hAnsi="Times New Roman"/>
          <w:sz w:val="20"/>
        </w:rPr>
        <w:t>with</w:t>
      </w:r>
      <w:r w:rsidRPr="00455956">
        <w:rPr>
          <w:rFonts w:ascii="Times New Roman" w:hAnsi="Times New Roman"/>
          <w:sz w:val="20"/>
        </w:rPr>
        <w:t xml:space="preserve"> </w:t>
      </w:r>
      <w:proofErr w:type="spellStart"/>
      <w:r w:rsidRPr="00455956">
        <w:rPr>
          <w:rFonts w:ascii="Times New Roman" w:hAnsi="Times New Roman"/>
          <w:sz w:val="20"/>
        </w:rPr>
        <w:t>Schlomann</w:t>
      </w:r>
      <w:proofErr w:type="spellEnd"/>
      <w:r w:rsidRPr="00455956">
        <w:rPr>
          <w:rFonts w:ascii="Times New Roman" w:hAnsi="Times New Roman"/>
          <w:sz w:val="20"/>
        </w:rPr>
        <w:t xml:space="preserve"> &amp; Associates LLC, </w:t>
      </w:r>
      <w:r w:rsidR="002B3CE2" w:rsidRPr="00455956">
        <w:rPr>
          <w:rFonts w:ascii="Times New Roman" w:hAnsi="Times New Roman"/>
          <w:sz w:val="20"/>
        </w:rPr>
        <w:t xml:space="preserve">negotiate with </w:t>
      </w:r>
      <w:r w:rsidR="00816C91" w:rsidRPr="00455956">
        <w:rPr>
          <w:rFonts w:ascii="Times New Roman" w:hAnsi="Times New Roman"/>
          <w:sz w:val="20"/>
        </w:rPr>
        <w:t>ASH</w:t>
      </w:r>
      <w:r w:rsidR="00F87A03" w:rsidRPr="00455956">
        <w:rPr>
          <w:rFonts w:ascii="Times New Roman" w:hAnsi="Times New Roman"/>
          <w:sz w:val="20"/>
        </w:rPr>
        <w:t xml:space="preserve"> </w:t>
      </w:r>
      <w:r w:rsidR="002B3CE2" w:rsidRPr="00455956">
        <w:rPr>
          <w:rFonts w:ascii="Times New Roman" w:hAnsi="Times New Roman"/>
          <w:sz w:val="20"/>
        </w:rPr>
        <w:t xml:space="preserve">to obtain the best plan at the lowest rate for Illinois State University students.  </w:t>
      </w:r>
      <w:r w:rsidR="00085B5F" w:rsidRPr="00455956">
        <w:rPr>
          <w:rFonts w:ascii="Times New Roman" w:hAnsi="Times New Roman"/>
          <w:sz w:val="20"/>
        </w:rPr>
        <w:t>Although t</w:t>
      </w:r>
      <w:r w:rsidR="005B5860" w:rsidRPr="00455956">
        <w:rPr>
          <w:rFonts w:ascii="Times New Roman" w:hAnsi="Times New Roman"/>
          <w:sz w:val="20"/>
        </w:rPr>
        <w:t>hree</w:t>
      </w:r>
      <w:r w:rsidR="000E52BA" w:rsidRPr="00455956">
        <w:rPr>
          <w:rFonts w:ascii="Times New Roman" w:hAnsi="Times New Roman"/>
          <w:sz w:val="20"/>
        </w:rPr>
        <w:t xml:space="preserve"> years ago </w:t>
      </w:r>
      <w:r w:rsidR="002B3CE2" w:rsidRPr="00455956">
        <w:rPr>
          <w:rFonts w:ascii="Times New Roman" w:hAnsi="Times New Roman"/>
          <w:sz w:val="20"/>
        </w:rPr>
        <w:t xml:space="preserve">changes in the ACA resulted in a 33% increase in the costs of the </w:t>
      </w:r>
      <w:r w:rsidR="00816C91" w:rsidRPr="00455956">
        <w:rPr>
          <w:rFonts w:ascii="Times New Roman" w:hAnsi="Times New Roman"/>
          <w:sz w:val="20"/>
        </w:rPr>
        <w:t>S</w:t>
      </w:r>
      <w:r w:rsidR="002B3CE2" w:rsidRPr="00455956">
        <w:rPr>
          <w:rFonts w:ascii="Times New Roman" w:hAnsi="Times New Roman"/>
          <w:sz w:val="20"/>
        </w:rPr>
        <w:t xml:space="preserve">tudent </w:t>
      </w:r>
      <w:r w:rsidR="00816C91" w:rsidRPr="00455956">
        <w:rPr>
          <w:rFonts w:ascii="Times New Roman" w:hAnsi="Times New Roman"/>
          <w:sz w:val="20"/>
        </w:rPr>
        <w:t>H</w:t>
      </w:r>
      <w:r w:rsidR="002B3CE2" w:rsidRPr="00455956">
        <w:rPr>
          <w:rFonts w:ascii="Times New Roman" w:hAnsi="Times New Roman"/>
          <w:sz w:val="20"/>
        </w:rPr>
        <w:t xml:space="preserve">ealth </w:t>
      </w:r>
      <w:r w:rsidR="00816C91" w:rsidRPr="00455956">
        <w:rPr>
          <w:rFonts w:ascii="Times New Roman" w:hAnsi="Times New Roman"/>
          <w:sz w:val="20"/>
        </w:rPr>
        <w:t>I</w:t>
      </w:r>
      <w:r w:rsidR="002B3CE2" w:rsidRPr="00455956">
        <w:rPr>
          <w:rFonts w:ascii="Times New Roman" w:hAnsi="Times New Roman"/>
          <w:sz w:val="20"/>
        </w:rPr>
        <w:t xml:space="preserve">nsurance </w:t>
      </w:r>
      <w:r w:rsidR="00816C91" w:rsidRPr="00455956">
        <w:rPr>
          <w:rFonts w:ascii="Times New Roman" w:hAnsi="Times New Roman"/>
          <w:sz w:val="20"/>
        </w:rPr>
        <w:t>P</w:t>
      </w:r>
      <w:r w:rsidR="002B3CE2" w:rsidRPr="00455956">
        <w:rPr>
          <w:rFonts w:ascii="Times New Roman" w:hAnsi="Times New Roman"/>
          <w:sz w:val="20"/>
        </w:rPr>
        <w:t>lan, through previous years premium planning</w:t>
      </w:r>
      <w:r w:rsidR="006D3C8A" w:rsidRPr="00455956">
        <w:rPr>
          <w:rFonts w:ascii="Times New Roman" w:hAnsi="Times New Roman"/>
          <w:sz w:val="20"/>
        </w:rPr>
        <w:t>,</w:t>
      </w:r>
      <w:r w:rsidR="002B3CE2" w:rsidRPr="00455956">
        <w:rPr>
          <w:rFonts w:ascii="Times New Roman" w:hAnsi="Times New Roman"/>
          <w:sz w:val="20"/>
        </w:rPr>
        <w:t xml:space="preserve"> favorable claims experience, and funds from the Premium Stabilization Reserve (PSR), the University was able to offer rate increase</w:t>
      </w:r>
      <w:r w:rsidR="005C73F1" w:rsidRPr="00455956">
        <w:rPr>
          <w:rFonts w:ascii="Times New Roman" w:hAnsi="Times New Roman"/>
          <w:sz w:val="20"/>
        </w:rPr>
        <w:t>s</w:t>
      </w:r>
      <w:r w:rsidR="002B3CE2" w:rsidRPr="00455956">
        <w:rPr>
          <w:rFonts w:ascii="Times New Roman" w:hAnsi="Times New Roman"/>
          <w:sz w:val="20"/>
        </w:rPr>
        <w:t xml:space="preserve"> of 6.9% </w:t>
      </w:r>
      <w:r w:rsidR="005B5860" w:rsidRPr="00455956">
        <w:rPr>
          <w:rFonts w:ascii="Times New Roman" w:hAnsi="Times New Roman"/>
          <w:sz w:val="20"/>
        </w:rPr>
        <w:t>for the 2014-2015 and 2015-2016 plan years</w:t>
      </w:r>
      <w:r w:rsidR="00085B5F" w:rsidRPr="00455956">
        <w:rPr>
          <w:rFonts w:ascii="Times New Roman" w:hAnsi="Times New Roman"/>
          <w:sz w:val="20"/>
        </w:rPr>
        <w:t xml:space="preserve">.  </w:t>
      </w:r>
      <w:r w:rsidR="00F87A03" w:rsidRPr="00455956">
        <w:rPr>
          <w:rFonts w:ascii="Times New Roman" w:hAnsi="Times New Roman"/>
          <w:sz w:val="20"/>
        </w:rPr>
        <w:t>Base</w:t>
      </w:r>
      <w:r w:rsidR="002F38D4" w:rsidRPr="00455956">
        <w:rPr>
          <w:rFonts w:ascii="Times New Roman" w:hAnsi="Times New Roman"/>
          <w:sz w:val="20"/>
        </w:rPr>
        <w:t>d</w:t>
      </w:r>
      <w:r w:rsidR="00F87A03" w:rsidRPr="00455956">
        <w:rPr>
          <w:rFonts w:ascii="Times New Roman" w:hAnsi="Times New Roman"/>
          <w:sz w:val="20"/>
        </w:rPr>
        <w:t xml:space="preserve"> </w:t>
      </w:r>
      <w:r w:rsidR="00FC7D3D" w:rsidRPr="00455956">
        <w:rPr>
          <w:rFonts w:ascii="Times New Roman" w:hAnsi="Times New Roman"/>
          <w:sz w:val="20"/>
        </w:rPr>
        <w:t>solely</w:t>
      </w:r>
      <w:r w:rsidR="00F87A03" w:rsidRPr="00455956">
        <w:rPr>
          <w:rFonts w:ascii="Times New Roman" w:hAnsi="Times New Roman"/>
          <w:sz w:val="20"/>
        </w:rPr>
        <w:t xml:space="preserve"> on claims experience, ASH proposed a 10.8% premium increase f</w:t>
      </w:r>
      <w:r w:rsidR="005C73F1" w:rsidRPr="00455956">
        <w:rPr>
          <w:rFonts w:ascii="Times New Roman" w:hAnsi="Times New Roman"/>
          <w:sz w:val="20"/>
        </w:rPr>
        <w:t>or the 201</w:t>
      </w:r>
      <w:r w:rsidR="00085B5F" w:rsidRPr="00455956">
        <w:rPr>
          <w:rFonts w:ascii="Times New Roman" w:hAnsi="Times New Roman"/>
          <w:sz w:val="20"/>
        </w:rPr>
        <w:t>7</w:t>
      </w:r>
      <w:r w:rsidR="005C73F1" w:rsidRPr="00455956">
        <w:rPr>
          <w:rFonts w:ascii="Times New Roman" w:hAnsi="Times New Roman"/>
          <w:sz w:val="20"/>
        </w:rPr>
        <w:t>-201</w:t>
      </w:r>
      <w:r w:rsidR="00085B5F" w:rsidRPr="00455956">
        <w:rPr>
          <w:rFonts w:ascii="Times New Roman" w:hAnsi="Times New Roman"/>
          <w:sz w:val="20"/>
        </w:rPr>
        <w:t>8</w:t>
      </w:r>
      <w:r w:rsidR="005C73F1" w:rsidRPr="00455956">
        <w:rPr>
          <w:rFonts w:ascii="Times New Roman" w:hAnsi="Times New Roman"/>
          <w:sz w:val="20"/>
        </w:rPr>
        <w:t xml:space="preserve"> plan </w:t>
      </w:r>
      <w:proofErr w:type="gramStart"/>
      <w:r w:rsidR="005C73F1" w:rsidRPr="00455956">
        <w:rPr>
          <w:rFonts w:ascii="Times New Roman" w:hAnsi="Times New Roman"/>
          <w:sz w:val="20"/>
        </w:rPr>
        <w:t>year</w:t>
      </w:r>
      <w:proofErr w:type="gramEnd"/>
      <w:r w:rsidR="00FC7D3D" w:rsidRPr="00455956">
        <w:rPr>
          <w:rFonts w:ascii="Times New Roman" w:hAnsi="Times New Roman"/>
          <w:sz w:val="20"/>
        </w:rPr>
        <w:t>.  However, after negotiations and the end of the ACA R</w:t>
      </w:r>
      <w:r w:rsidR="0010297C" w:rsidRPr="00455956">
        <w:rPr>
          <w:rFonts w:ascii="Times New Roman" w:hAnsi="Times New Roman"/>
          <w:sz w:val="20"/>
        </w:rPr>
        <w:t xml:space="preserve">einsurance </w:t>
      </w:r>
      <w:r w:rsidR="00FC7D3D" w:rsidRPr="00455956">
        <w:rPr>
          <w:rFonts w:ascii="Times New Roman" w:hAnsi="Times New Roman"/>
          <w:sz w:val="20"/>
        </w:rPr>
        <w:t>C</w:t>
      </w:r>
      <w:r w:rsidR="0010297C" w:rsidRPr="00455956">
        <w:rPr>
          <w:rFonts w:ascii="Times New Roman" w:hAnsi="Times New Roman"/>
          <w:sz w:val="20"/>
        </w:rPr>
        <w:t>ontribution tax</w:t>
      </w:r>
      <w:r w:rsidR="00FC7D3D" w:rsidRPr="00455956">
        <w:rPr>
          <w:rFonts w:ascii="Times New Roman" w:hAnsi="Times New Roman"/>
          <w:sz w:val="20"/>
        </w:rPr>
        <w:t>, a 3.5% increase is recommend</w:t>
      </w:r>
      <w:r w:rsidR="00416D04" w:rsidRPr="00455956">
        <w:rPr>
          <w:rFonts w:ascii="Times New Roman" w:hAnsi="Times New Roman"/>
          <w:sz w:val="20"/>
        </w:rPr>
        <w:t>ed</w:t>
      </w:r>
      <w:r w:rsidR="00FC7D3D" w:rsidRPr="00455956">
        <w:rPr>
          <w:rFonts w:ascii="Times New Roman" w:hAnsi="Times New Roman"/>
          <w:sz w:val="20"/>
        </w:rPr>
        <w:t xml:space="preserve">.  In order to keep the cost to students flat, the 3.5% increase can be subsidized by the PSR.  </w:t>
      </w:r>
      <w:r w:rsidR="00FC7D3D" w:rsidRPr="00455956">
        <w:rPr>
          <w:rFonts w:ascii="Times New Roman" w:hAnsi="Times New Roman"/>
          <w:i/>
          <w:sz w:val="20"/>
        </w:rPr>
        <w:t xml:space="preserve">Therefore, for the 2017-2018 plan </w:t>
      </w:r>
      <w:proofErr w:type="gramStart"/>
      <w:r w:rsidR="00FC7D3D" w:rsidRPr="00455956">
        <w:rPr>
          <w:rFonts w:ascii="Times New Roman" w:hAnsi="Times New Roman"/>
          <w:i/>
          <w:sz w:val="20"/>
        </w:rPr>
        <w:t>year</w:t>
      </w:r>
      <w:proofErr w:type="gramEnd"/>
      <w:r w:rsidR="00FC7D3D" w:rsidRPr="00455956">
        <w:rPr>
          <w:rFonts w:ascii="Times New Roman" w:hAnsi="Times New Roman"/>
          <w:i/>
          <w:sz w:val="20"/>
        </w:rPr>
        <w:t xml:space="preserve"> it is </w:t>
      </w:r>
      <w:r w:rsidR="005C73F1" w:rsidRPr="00455956">
        <w:rPr>
          <w:rFonts w:ascii="Times New Roman" w:hAnsi="Times New Roman"/>
          <w:i/>
          <w:sz w:val="20"/>
        </w:rPr>
        <w:t>recommend</w:t>
      </w:r>
      <w:r w:rsidR="000E52BA" w:rsidRPr="00455956">
        <w:rPr>
          <w:rFonts w:ascii="Times New Roman" w:hAnsi="Times New Roman"/>
          <w:i/>
          <w:sz w:val="20"/>
        </w:rPr>
        <w:t>ed</w:t>
      </w:r>
      <w:r w:rsidR="005C73F1" w:rsidRPr="00455956">
        <w:rPr>
          <w:rFonts w:ascii="Times New Roman" w:hAnsi="Times New Roman"/>
          <w:i/>
          <w:sz w:val="20"/>
        </w:rPr>
        <w:t xml:space="preserve"> a flat</w:t>
      </w:r>
      <w:r w:rsidR="004A0184" w:rsidRPr="00455956">
        <w:rPr>
          <w:rFonts w:ascii="Times New Roman" w:hAnsi="Times New Roman"/>
          <w:i/>
          <w:sz w:val="20"/>
        </w:rPr>
        <w:t xml:space="preserve"> rate</w:t>
      </w:r>
      <w:r w:rsidR="005C73F1" w:rsidRPr="00455956">
        <w:rPr>
          <w:rFonts w:ascii="Times New Roman" w:hAnsi="Times New Roman"/>
          <w:i/>
          <w:sz w:val="20"/>
        </w:rPr>
        <w:t xml:space="preserve">/zero </w:t>
      </w:r>
      <w:r w:rsidR="004A0184" w:rsidRPr="00455956">
        <w:rPr>
          <w:rFonts w:ascii="Times New Roman" w:hAnsi="Times New Roman"/>
          <w:i/>
          <w:sz w:val="20"/>
        </w:rPr>
        <w:t>percent</w:t>
      </w:r>
      <w:r w:rsidR="000E52BA" w:rsidRPr="00455956">
        <w:rPr>
          <w:rFonts w:ascii="Times New Roman" w:hAnsi="Times New Roman"/>
          <w:i/>
          <w:sz w:val="20"/>
        </w:rPr>
        <w:t xml:space="preserve"> </w:t>
      </w:r>
      <w:r w:rsidR="005C73F1" w:rsidRPr="00455956">
        <w:rPr>
          <w:rFonts w:ascii="Times New Roman" w:hAnsi="Times New Roman"/>
          <w:i/>
          <w:sz w:val="20"/>
        </w:rPr>
        <w:t xml:space="preserve">increase to students enrolling in the </w:t>
      </w:r>
      <w:r w:rsidR="00816C91" w:rsidRPr="00455956">
        <w:rPr>
          <w:rFonts w:ascii="Times New Roman" w:hAnsi="Times New Roman"/>
          <w:i/>
          <w:sz w:val="20"/>
        </w:rPr>
        <w:t>S</w:t>
      </w:r>
      <w:r w:rsidR="005C73F1" w:rsidRPr="00455956">
        <w:rPr>
          <w:rFonts w:ascii="Times New Roman" w:hAnsi="Times New Roman"/>
          <w:i/>
          <w:sz w:val="20"/>
        </w:rPr>
        <w:t xml:space="preserve">tudent </w:t>
      </w:r>
      <w:r w:rsidR="00816C91" w:rsidRPr="00455956">
        <w:rPr>
          <w:rFonts w:ascii="Times New Roman" w:hAnsi="Times New Roman"/>
          <w:i/>
          <w:sz w:val="20"/>
        </w:rPr>
        <w:t>H</w:t>
      </w:r>
      <w:r w:rsidR="005C73F1" w:rsidRPr="00455956">
        <w:rPr>
          <w:rFonts w:ascii="Times New Roman" w:hAnsi="Times New Roman"/>
          <w:i/>
          <w:sz w:val="20"/>
        </w:rPr>
        <w:t xml:space="preserve">ealth </w:t>
      </w:r>
      <w:r w:rsidR="00816C91" w:rsidRPr="00455956">
        <w:rPr>
          <w:rFonts w:ascii="Times New Roman" w:hAnsi="Times New Roman"/>
          <w:i/>
          <w:sz w:val="20"/>
        </w:rPr>
        <w:t>I</w:t>
      </w:r>
      <w:r w:rsidR="005C73F1" w:rsidRPr="00455956">
        <w:rPr>
          <w:rFonts w:ascii="Times New Roman" w:hAnsi="Times New Roman"/>
          <w:i/>
          <w:sz w:val="20"/>
        </w:rPr>
        <w:t xml:space="preserve">nsurance </w:t>
      </w:r>
      <w:r w:rsidR="00816C91" w:rsidRPr="00455956">
        <w:rPr>
          <w:rFonts w:ascii="Times New Roman" w:hAnsi="Times New Roman"/>
          <w:i/>
          <w:sz w:val="20"/>
        </w:rPr>
        <w:t>P</w:t>
      </w:r>
      <w:r w:rsidR="005C73F1" w:rsidRPr="00455956">
        <w:rPr>
          <w:rFonts w:ascii="Times New Roman" w:hAnsi="Times New Roman"/>
          <w:i/>
          <w:sz w:val="20"/>
        </w:rPr>
        <w:t>lan</w:t>
      </w:r>
      <w:r w:rsidR="002B3CE2" w:rsidRPr="00455956">
        <w:rPr>
          <w:rFonts w:ascii="Times New Roman" w:hAnsi="Times New Roman"/>
          <w:i/>
          <w:sz w:val="20"/>
        </w:rPr>
        <w:t>.</w:t>
      </w:r>
      <w:r w:rsidR="00FC7D3D" w:rsidRPr="00455956">
        <w:rPr>
          <w:rFonts w:ascii="Times New Roman" w:hAnsi="Times New Roman"/>
          <w:i/>
          <w:sz w:val="20"/>
        </w:rPr>
        <w:t xml:space="preserve">  </w:t>
      </w:r>
      <w:r w:rsidR="00FC7D3D" w:rsidRPr="00455956">
        <w:rPr>
          <w:rFonts w:ascii="Times New Roman" w:hAnsi="Times New Roman"/>
          <w:sz w:val="20"/>
        </w:rPr>
        <w:t xml:space="preserve">This would be the third consecutive year </w:t>
      </w:r>
      <w:r w:rsidR="00416D04" w:rsidRPr="00455956">
        <w:rPr>
          <w:rFonts w:ascii="Times New Roman" w:hAnsi="Times New Roman"/>
          <w:sz w:val="20"/>
        </w:rPr>
        <w:t xml:space="preserve">students would have </w:t>
      </w:r>
      <w:r w:rsidR="00FC7D3D" w:rsidRPr="00455956">
        <w:rPr>
          <w:rFonts w:ascii="Times New Roman" w:hAnsi="Times New Roman"/>
          <w:sz w:val="20"/>
        </w:rPr>
        <w:t>the same Student Insurance rate.</w:t>
      </w:r>
    </w:p>
    <w:p w:rsidR="00380E70" w:rsidRPr="00455956" w:rsidRDefault="00380E70" w:rsidP="00380E70">
      <w:pPr>
        <w:rPr>
          <w:rFonts w:ascii="Times New Roman" w:hAnsi="Times New Roman"/>
          <w:sz w:val="20"/>
        </w:rPr>
      </w:pPr>
    </w:p>
    <w:p w:rsidR="003311DC" w:rsidRPr="00455956" w:rsidRDefault="003311DC" w:rsidP="003311DC">
      <w:pPr>
        <w:rPr>
          <w:rFonts w:ascii="Times New Roman" w:hAnsi="Times New Roman"/>
          <w:sz w:val="20"/>
        </w:rPr>
      </w:pPr>
      <w:r w:rsidRPr="00455956">
        <w:rPr>
          <w:rFonts w:ascii="Times New Roman" w:hAnsi="Times New Roman"/>
          <w:sz w:val="20"/>
        </w:rPr>
        <w:t>The proposed Aetna rates and use of the Premium Stabilization Reserve are as follows:</w:t>
      </w:r>
    </w:p>
    <w:p w:rsidR="003311DC" w:rsidRPr="00455956" w:rsidRDefault="003311DC" w:rsidP="003311DC">
      <w:pPr>
        <w:rPr>
          <w:rFonts w:ascii="Times New Roman" w:hAnsi="Times New Roman"/>
          <w:sz w:val="20"/>
        </w:rPr>
      </w:pPr>
    </w:p>
    <w:p w:rsidR="003311DC" w:rsidRPr="00455956" w:rsidRDefault="003311DC" w:rsidP="003311DC">
      <w:pPr>
        <w:jc w:val="center"/>
        <w:rPr>
          <w:rFonts w:ascii="Times New Roman" w:hAnsi="Times New Roman"/>
          <w:sz w:val="20"/>
        </w:rPr>
      </w:pPr>
      <w:r w:rsidRPr="00455956">
        <w:rPr>
          <w:rFonts w:ascii="Times New Roman" w:hAnsi="Times New Roman"/>
          <w:sz w:val="20"/>
        </w:rPr>
        <w:t>Premium Comparison:  Current and Proposed</w:t>
      </w:r>
    </w:p>
    <w:p w:rsidR="003311DC" w:rsidRPr="00455956" w:rsidRDefault="003311DC" w:rsidP="003311DC">
      <w:pPr>
        <w:ind w:left="360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6"/>
        <w:gridCol w:w="1699"/>
        <w:gridCol w:w="1866"/>
      </w:tblGrid>
      <w:tr w:rsidR="003311DC" w:rsidRPr="00455956" w:rsidTr="003311DC">
        <w:trPr>
          <w:jc w:val="center"/>
        </w:trPr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3311DC" w:rsidRPr="00455956" w:rsidRDefault="003311DC" w:rsidP="005B586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201</w:t>
            </w:r>
            <w:r w:rsidR="005B5860" w:rsidRPr="00455956">
              <w:rPr>
                <w:rFonts w:ascii="Times New Roman" w:hAnsi="Times New Roman"/>
                <w:sz w:val="20"/>
              </w:rPr>
              <w:t>6</w:t>
            </w:r>
            <w:r w:rsidRPr="00455956">
              <w:rPr>
                <w:rFonts w:ascii="Times New Roman" w:hAnsi="Times New Roman"/>
                <w:sz w:val="20"/>
              </w:rPr>
              <w:t>-201</w:t>
            </w:r>
            <w:r w:rsidR="005B5860" w:rsidRPr="00455956">
              <w:rPr>
                <w:rFonts w:ascii="Times New Roman" w:hAnsi="Times New Roman"/>
                <w:sz w:val="20"/>
              </w:rPr>
              <w:t>7</w:t>
            </w:r>
            <w:r w:rsidRPr="00455956">
              <w:rPr>
                <w:rFonts w:ascii="Times New Roman" w:hAnsi="Times New Roman"/>
                <w:sz w:val="20"/>
              </w:rPr>
              <w:t xml:space="preserve"> current</w:t>
            </w:r>
          </w:p>
        </w:tc>
        <w:tc>
          <w:tcPr>
            <w:tcW w:w="0" w:type="auto"/>
          </w:tcPr>
          <w:p w:rsidR="003311DC" w:rsidRPr="00455956" w:rsidRDefault="003311DC" w:rsidP="005B586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201</w:t>
            </w:r>
            <w:r w:rsidR="005B5860" w:rsidRPr="00455956">
              <w:rPr>
                <w:rFonts w:ascii="Times New Roman" w:hAnsi="Times New Roman"/>
                <w:sz w:val="20"/>
              </w:rPr>
              <w:t>7</w:t>
            </w:r>
            <w:r w:rsidRPr="00455956">
              <w:rPr>
                <w:rFonts w:ascii="Times New Roman" w:hAnsi="Times New Roman"/>
                <w:sz w:val="20"/>
              </w:rPr>
              <w:t>-201</w:t>
            </w:r>
            <w:r w:rsidR="005B5860" w:rsidRPr="00455956">
              <w:rPr>
                <w:rFonts w:ascii="Times New Roman" w:hAnsi="Times New Roman"/>
                <w:sz w:val="20"/>
              </w:rPr>
              <w:t>8</w:t>
            </w:r>
            <w:r w:rsidRPr="00455956">
              <w:rPr>
                <w:rFonts w:ascii="Times New Roman" w:hAnsi="Times New Roman"/>
                <w:sz w:val="20"/>
              </w:rPr>
              <w:t xml:space="preserve"> proposed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Semester Premium</w:t>
            </w:r>
          </w:p>
        </w:tc>
        <w:tc>
          <w:tcPr>
            <w:tcW w:w="0" w:type="auto"/>
          </w:tcPr>
          <w:p w:rsidR="003311DC" w:rsidRPr="00455956" w:rsidRDefault="005B5860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0" w:type="auto"/>
          </w:tcPr>
          <w:p w:rsidR="003311DC" w:rsidRPr="00455956" w:rsidRDefault="002D6A41" w:rsidP="008C367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On Call Premium</w:t>
            </w:r>
          </w:p>
        </w:tc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  3</w:t>
            </w:r>
          </w:p>
        </w:tc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  3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Administrative charge</w:t>
            </w:r>
          </w:p>
        </w:tc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10</w:t>
            </w:r>
          </w:p>
        </w:tc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10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</w:tcPr>
          <w:p w:rsidR="003311DC" w:rsidRPr="00455956" w:rsidRDefault="003311DC" w:rsidP="008C367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Subsidy </w:t>
            </w:r>
            <w:r w:rsidR="008C3670" w:rsidRPr="00455956">
              <w:rPr>
                <w:rFonts w:ascii="Times New Roman" w:hAnsi="Times New Roman"/>
                <w:sz w:val="20"/>
              </w:rPr>
              <w:t>to/</w:t>
            </w:r>
            <w:r w:rsidRPr="00455956">
              <w:rPr>
                <w:rFonts w:ascii="Times New Roman" w:hAnsi="Times New Roman"/>
                <w:sz w:val="20"/>
              </w:rPr>
              <w:t>from PSR</w:t>
            </w:r>
          </w:p>
        </w:tc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</w:t>
            </w:r>
            <w:r w:rsidR="005B5860" w:rsidRPr="00455956">
              <w:rPr>
                <w:rFonts w:ascii="Times New Roman" w:hAnsi="Times New Roman"/>
                <w:sz w:val="20"/>
              </w:rPr>
              <w:t>+4</w:t>
            </w:r>
          </w:p>
        </w:tc>
        <w:tc>
          <w:tcPr>
            <w:tcW w:w="0" w:type="auto"/>
          </w:tcPr>
          <w:p w:rsidR="003311DC" w:rsidRPr="00455956" w:rsidRDefault="003311DC" w:rsidP="002D6A41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</w:t>
            </w:r>
            <w:r w:rsidR="002D6A41" w:rsidRPr="00455956">
              <w:rPr>
                <w:rFonts w:ascii="Times New Roman" w:hAnsi="Times New Roman"/>
                <w:sz w:val="20"/>
              </w:rPr>
              <w:t>-</w:t>
            </w:r>
            <w:r w:rsidRPr="00455956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Fee assessed to student</w:t>
            </w:r>
          </w:p>
        </w:tc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</w:t>
            </w:r>
            <w:r w:rsidR="008C3670" w:rsidRPr="00455956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249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B586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201</w:t>
            </w:r>
            <w:r w:rsidR="005B5860" w:rsidRPr="00455956">
              <w:rPr>
                <w:rFonts w:ascii="Times New Roman" w:hAnsi="Times New Roman"/>
                <w:sz w:val="20"/>
              </w:rPr>
              <w:t>6</w:t>
            </w:r>
            <w:r w:rsidRPr="00455956">
              <w:rPr>
                <w:rFonts w:ascii="Times New Roman" w:hAnsi="Times New Roman"/>
                <w:sz w:val="20"/>
              </w:rPr>
              <w:t>-201</w:t>
            </w:r>
            <w:r w:rsidR="005B5860" w:rsidRPr="00455956">
              <w:rPr>
                <w:rFonts w:ascii="Times New Roman" w:hAnsi="Times New Roman"/>
                <w:sz w:val="20"/>
              </w:rPr>
              <w:t>7</w:t>
            </w:r>
            <w:r w:rsidRPr="00455956">
              <w:rPr>
                <w:rFonts w:ascii="Times New Roman" w:hAnsi="Times New Roman"/>
                <w:sz w:val="20"/>
              </w:rPr>
              <w:t xml:space="preserve"> current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B586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201</w:t>
            </w:r>
            <w:r w:rsidR="005B5860" w:rsidRPr="00455956">
              <w:rPr>
                <w:rFonts w:ascii="Times New Roman" w:hAnsi="Times New Roman"/>
                <w:sz w:val="20"/>
              </w:rPr>
              <w:t>7</w:t>
            </w:r>
            <w:r w:rsidRPr="00455956">
              <w:rPr>
                <w:rFonts w:ascii="Times New Roman" w:hAnsi="Times New Roman"/>
                <w:sz w:val="20"/>
              </w:rPr>
              <w:t>-201</w:t>
            </w:r>
            <w:r w:rsidR="005B5860" w:rsidRPr="00455956">
              <w:rPr>
                <w:rFonts w:ascii="Times New Roman" w:hAnsi="Times New Roman"/>
                <w:sz w:val="20"/>
              </w:rPr>
              <w:t>8</w:t>
            </w:r>
            <w:r w:rsidRPr="00455956">
              <w:rPr>
                <w:rFonts w:ascii="Times New Roman" w:hAnsi="Times New Roman"/>
                <w:sz w:val="20"/>
              </w:rPr>
              <w:t xml:space="preserve"> proposed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Summer Premium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B586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1</w:t>
            </w:r>
            <w:r w:rsidR="005B5860" w:rsidRPr="00455956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2D6A41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1</w:t>
            </w:r>
            <w:r w:rsidR="002D6A41" w:rsidRPr="00455956">
              <w:rPr>
                <w:rFonts w:ascii="Times New Roman" w:hAnsi="Times New Roman"/>
                <w:sz w:val="20"/>
              </w:rPr>
              <w:t>82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On Call Premium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  1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Administrative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 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  5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Subsidy </w:t>
            </w:r>
            <w:r w:rsidR="008C3670" w:rsidRPr="00455956">
              <w:rPr>
                <w:rFonts w:ascii="Times New Roman" w:hAnsi="Times New Roman"/>
                <w:sz w:val="20"/>
              </w:rPr>
              <w:t>to/</w:t>
            </w:r>
            <w:r w:rsidRPr="00455956">
              <w:rPr>
                <w:rFonts w:ascii="Times New Roman" w:hAnsi="Times New Roman"/>
                <w:sz w:val="20"/>
              </w:rPr>
              <w:t>from PSR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8C3670" w:rsidP="005B5860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</w:t>
            </w:r>
            <w:r w:rsidR="005B5860" w:rsidRPr="00455956">
              <w:rPr>
                <w:rFonts w:ascii="Times New Roman" w:hAnsi="Times New Roman"/>
                <w:sz w:val="20"/>
              </w:rPr>
              <w:t>+5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2D6A41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 xml:space="preserve">  </w:t>
            </w:r>
            <w:r w:rsidR="002D6A41" w:rsidRPr="00455956">
              <w:rPr>
                <w:rFonts w:ascii="Times New Roman" w:hAnsi="Times New Roman"/>
                <w:sz w:val="20"/>
              </w:rPr>
              <w:t>-1</w:t>
            </w:r>
          </w:p>
        </w:tc>
      </w:tr>
      <w:tr w:rsidR="003311DC" w:rsidRPr="00455956" w:rsidTr="003311D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Fee assessed to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1</w:t>
            </w:r>
            <w:r w:rsidR="008C3670" w:rsidRPr="00455956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DC" w:rsidRPr="00455956" w:rsidRDefault="003311DC" w:rsidP="0056140B">
            <w:pPr>
              <w:rPr>
                <w:rFonts w:ascii="Times New Roman" w:hAnsi="Times New Roman"/>
                <w:sz w:val="20"/>
              </w:rPr>
            </w:pPr>
            <w:r w:rsidRPr="00455956">
              <w:rPr>
                <w:rFonts w:ascii="Times New Roman" w:hAnsi="Times New Roman"/>
                <w:sz w:val="20"/>
              </w:rPr>
              <w:t>187</w:t>
            </w:r>
          </w:p>
        </w:tc>
      </w:tr>
    </w:tbl>
    <w:p w:rsidR="003311DC" w:rsidRPr="00455956" w:rsidRDefault="003311DC" w:rsidP="00B02A12">
      <w:pPr>
        <w:rPr>
          <w:rFonts w:ascii="Times New Roman" w:hAnsi="Times New Roman"/>
          <w:sz w:val="20"/>
        </w:rPr>
      </w:pPr>
    </w:p>
    <w:p w:rsidR="00F87A03" w:rsidRPr="00455956" w:rsidRDefault="00F87A03" w:rsidP="00B02A12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page" w:horzAnchor="margin" w:tblpY="3526"/>
        <w:tblW w:w="10224" w:type="dxa"/>
        <w:tblLook w:val="04A0" w:firstRow="1" w:lastRow="0" w:firstColumn="1" w:lastColumn="0" w:noHBand="0" w:noVBand="1"/>
      </w:tblPr>
      <w:tblGrid>
        <w:gridCol w:w="1008"/>
        <w:gridCol w:w="1788"/>
        <w:gridCol w:w="1589"/>
        <w:gridCol w:w="943"/>
        <w:gridCol w:w="1440"/>
        <w:gridCol w:w="864"/>
        <w:gridCol w:w="1296"/>
        <w:gridCol w:w="1296"/>
      </w:tblGrid>
      <w:tr w:rsidR="002900E3" w:rsidRPr="002900E3" w:rsidTr="002900E3">
        <w:trPr>
          <w:cantSplit/>
          <w:trHeight w:val="1134"/>
        </w:trPr>
        <w:tc>
          <w:tcPr>
            <w:tcW w:w="100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8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NIU</w:t>
            </w:r>
          </w:p>
        </w:tc>
        <w:tc>
          <w:tcPr>
            <w:tcW w:w="1589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SIU</w:t>
            </w:r>
          </w:p>
        </w:tc>
        <w:tc>
          <w:tcPr>
            <w:tcW w:w="943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EIU</w:t>
            </w:r>
          </w:p>
        </w:tc>
        <w:tc>
          <w:tcPr>
            <w:tcW w:w="1440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7030A0"/>
                <w:sz w:val="16"/>
                <w:szCs w:val="16"/>
              </w:rPr>
              <w:t>WIU</w:t>
            </w:r>
          </w:p>
        </w:tc>
        <w:tc>
          <w:tcPr>
            <w:tcW w:w="864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ISU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U of I Undergraduates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U of I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Graduates</w:t>
            </w:r>
          </w:p>
        </w:tc>
      </w:tr>
      <w:tr w:rsidR="002900E3" w:rsidRPr="002900E3" w:rsidTr="002900E3">
        <w:trPr>
          <w:cantSplit/>
          <w:trHeight w:val="1134"/>
        </w:trPr>
        <w:tc>
          <w:tcPr>
            <w:tcW w:w="100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sz w:val="16"/>
                <w:szCs w:val="16"/>
              </w:rPr>
              <w:t>Carrier</w:t>
            </w:r>
          </w:p>
        </w:tc>
        <w:tc>
          <w:tcPr>
            <w:tcW w:w="178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Blue Cross Blue Shield</w:t>
            </w:r>
          </w:p>
        </w:tc>
        <w:tc>
          <w:tcPr>
            <w:tcW w:w="1589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Aetna Student Health</w:t>
            </w:r>
          </w:p>
        </w:tc>
        <w:tc>
          <w:tcPr>
            <w:tcW w:w="943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proofErr w:type="spellStart"/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Self Insured</w:t>
            </w:r>
            <w:proofErr w:type="spellEnd"/>
          </w:p>
        </w:tc>
        <w:tc>
          <w:tcPr>
            <w:tcW w:w="1440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7030A0"/>
                <w:sz w:val="16"/>
                <w:szCs w:val="16"/>
              </w:rPr>
              <w:t>Blue Cross Blue Shield</w:t>
            </w:r>
          </w:p>
        </w:tc>
        <w:tc>
          <w:tcPr>
            <w:tcW w:w="864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Aetna Student Health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United Healthcare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United Healthcare</w:t>
            </w:r>
          </w:p>
        </w:tc>
      </w:tr>
      <w:tr w:rsidR="002900E3" w:rsidRPr="002900E3" w:rsidTr="002900E3">
        <w:trPr>
          <w:cantSplit/>
          <w:trHeight w:val="1505"/>
        </w:trPr>
        <w:tc>
          <w:tcPr>
            <w:tcW w:w="100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sz w:val="16"/>
                <w:szCs w:val="16"/>
              </w:rPr>
              <w:t>Semester fee</w:t>
            </w:r>
          </w:p>
        </w:tc>
        <w:tc>
          <w:tcPr>
            <w:tcW w:w="178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$950 fall;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$950 spring/summer combined;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$343 summer only</w:t>
            </w:r>
          </w:p>
        </w:tc>
        <w:tc>
          <w:tcPr>
            <w:tcW w:w="1589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$650 fall;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$650 spring/summer combined;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$ summer only</w:t>
            </w:r>
          </w:p>
        </w:tc>
        <w:tc>
          <w:tcPr>
            <w:tcW w:w="943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$110 fall;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$110 spring;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$88 summer</w:t>
            </w:r>
          </w:p>
        </w:tc>
        <w:tc>
          <w:tcPr>
            <w:tcW w:w="1440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7030A0"/>
                <w:sz w:val="16"/>
                <w:szCs w:val="16"/>
              </w:rPr>
              <w:t>$705  fall;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7030A0"/>
                <w:sz w:val="16"/>
                <w:szCs w:val="16"/>
              </w:rPr>
              <w:t>$705 spring/summer combined; $ summer only</w:t>
            </w:r>
          </w:p>
        </w:tc>
        <w:tc>
          <w:tcPr>
            <w:tcW w:w="864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$249 fall;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$249  spring;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$187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summer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$320 fall;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$320 spring;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$320 summer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$409 fall;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$409 spring; $409 summer</w:t>
            </w:r>
          </w:p>
        </w:tc>
      </w:tr>
      <w:tr w:rsidR="002900E3" w:rsidRPr="002900E3" w:rsidTr="002900E3">
        <w:trPr>
          <w:cantSplit/>
          <w:trHeight w:val="1134"/>
        </w:trPr>
        <w:tc>
          <w:tcPr>
            <w:tcW w:w="100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sz w:val="16"/>
                <w:szCs w:val="16"/>
              </w:rPr>
              <w:t>Deductible</w:t>
            </w:r>
          </w:p>
        </w:tc>
        <w:tc>
          <w:tcPr>
            <w:tcW w:w="178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$250 annual in network; $700 out of network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(&amp; additional $150 each ER)</w:t>
            </w:r>
          </w:p>
        </w:tc>
        <w:tc>
          <w:tcPr>
            <w:tcW w:w="1589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$100 in-network;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$150 out of network</w:t>
            </w:r>
          </w:p>
        </w:tc>
        <w:tc>
          <w:tcPr>
            <w:tcW w:w="943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$50 per condition</w:t>
            </w:r>
          </w:p>
        </w:tc>
        <w:tc>
          <w:tcPr>
            <w:tcW w:w="1440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7030A0"/>
                <w:sz w:val="16"/>
                <w:szCs w:val="16"/>
              </w:rPr>
              <w:t>$750 in network;  $1500 out of network</w:t>
            </w:r>
          </w:p>
        </w:tc>
        <w:tc>
          <w:tcPr>
            <w:tcW w:w="864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$50 annual; waived if other insurance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$150 outpatient; $100 inpatient per confinement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$150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Outpatient;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$100 inpatient per confinement</w:t>
            </w:r>
          </w:p>
        </w:tc>
      </w:tr>
      <w:tr w:rsidR="002900E3" w:rsidRPr="002900E3" w:rsidTr="002900E3">
        <w:trPr>
          <w:cantSplit/>
          <w:trHeight w:val="1134"/>
        </w:trPr>
        <w:tc>
          <w:tcPr>
            <w:tcW w:w="100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sz w:val="16"/>
                <w:szCs w:val="16"/>
              </w:rPr>
              <w:t>Stop Loss (student maximum out of pocket per policy year)</w:t>
            </w:r>
          </w:p>
        </w:tc>
        <w:tc>
          <w:tcPr>
            <w:tcW w:w="178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$5250 in- network; $8000 out of network</w:t>
            </w:r>
          </w:p>
        </w:tc>
        <w:tc>
          <w:tcPr>
            <w:tcW w:w="1589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$1100 in-network;  $2000 out of network</w:t>
            </w:r>
          </w:p>
        </w:tc>
        <w:tc>
          <w:tcPr>
            <w:tcW w:w="943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None</w:t>
            </w:r>
          </w:p>
        </w:tc>
        <w:tc>
          <w:tcPr>
            <w:tcW w:w="1440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7030A0"/>
                <w:sz w:val="16"/>
                <w:szCs w:val="16"/>
              </w:rPr>
              <w:t>$6600 in- network; $12,800 out of network</w:t>
            </w:r>
          </w:p>
        </w:tc>
        <w:tc>
          <w:tcPr>
            <w:tcW w:w="864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$1250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$6350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 xml:space="preserve">$1800 </w:t>
            </w:r>
          </w:p>
        </w:tc>
      </w:tr>
      <w:tr w:rsidR="002900E3" w:rsidRPr="002900E3" w:rsidTr="002900E3">
        <w:trPr>
          <w:cantSplit/>
          <w:trHeight w:val="1134"/>
        </w:trPr>
        <w:tc>
          <w:tcPr>
            <w:tcW w:w="100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sz w:val="16"/>
                <w:szCs w:val="16"/>
              </w:rPr>
              <w:t>Plan Maximum</w:t>
            </w:r>
          </w:p>
        </w:tc>
        <w:tc>
          <w:tcPr>
            <w:tcW w:w="1788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C00000"/>
                <w:sz w:val="16"/>
                <w:szCs w:val="16"/>
              </w:rPr>
              <w:t>Unlimited</w:t>
            </w:r>
          </w:p>
        </w:tc>
        <w:tc>
          <w:tcPr>
            <w:tcW w:w="1589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943634" w:themeColor="accent2" w:themeShade="BF"/>
                <w:sz w:val="16"/>
                <w:szCs w:val="16"/>
              </w:rPr>
              <w:t>Unlimited</w:t>
            </w:r>
          </w:p>
        </w:tc>
        <w:tc>
          <w:tcPr>
            <w:tcW w:w="943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  <w:t>$20,000 annual</w:t>
            </w:r>
          </w:p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40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7030A0"/>
                <w:sz w:val="16"/>
                <w:szCs w:val="16"/>
              </w:rPr>
              <w:t>Unlimited</w:t>
            </w:r>
          </w:p>
        </w:tc>
        <w:tc>
          <w:tcPr>
            <w:tcW w:w="864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Unlimited</w:t>
            </w:r>
          </w:p>
        </w:tc>
        <w:tc>
          <w:tcPr>
            <w:tcW w:w="1296" w:type="dxa"/>
          </w:tcPr>
          <w:p w:rsidR="002900E3" w:rsidRPr="002900E3" w:rsidRDefault="002900E3" w:rsidP="002900E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79646" w:themeColor="accent6"/>
                <w:sz w:val="16"/>
                <w:szCs w:val="16"/>
              </w:rPr>
            </w:pPr>
            <w:r w:rsidRPr="002900E3">
              <w:rPr>
                <w:rFonts w:asciiTheme="minorHAnsi" w:hAnsiTheme="minorHAnsi"/>
                <w:color w:val="F79646" w:themeColor="accent6"/>
                <w:sz w:val="16"/>
                <w:szCs w:val="16"/>
              </w:rPr>
              <w:t>Unlimited</w:t>
            </w:r>
          </w:p>
        </w:tc>
      </w:tr>
    </w:tbl>
    <w:p w:rsidR="002900E3" w:rsidRPr="002900E3" w:rsidRDefault="002900E3" w:rsidP="002900E3">
      <w:pPr>
        <w:pBdr>
          <w:bottom w:val="single" w:sz="8" w:space="4" w:color="4F81BD" w:themeColor="accent1"/>
        </w:pBdr>
        <w:overflowPunct/>
        <w:autoSpaceDE/>
        <w:autoSpaceDN/>
        <w:adjustRightInd/>
        <w:spacing w:after="300"/>
        <w:contextualSpacing/>
        <w:textAlignment w:val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2900E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Consortium Insurance Plans 2016-17 Plan Year</w:t>
      </w:r>
    </w:p>
    <w:p w:rsidR="002900E3" w:rsidRDefault="002900E3" w:rsidP="00B02A12">
      <w:pPr>
        <w:rPr>
          <w:rFonts w:ascii="Times New Roman" w:hAnsi="Times New Roman"/>
          <w:sz w:val="20"/>
        </w:rPr>
      </w:pPr>
    </w:p>
    <w:p w:rsidR="002900E3" w:rsidRDefault="002900E3" w:rsidP="002900E3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:rsidR="002900E3" w:rsidRDefault="002900E3" w:rsidP="002900E3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:rsidR="002900E3" w:rsidRDefault="002900E3" w:rsidP="002900E3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:rsidR="002900E3" w:rsidRDefault="002900E3" w:rsidP="002900E3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:rsidR="002900E3" w:rsidRPr="002900E3" w:rsidRDefault="002900E3" w:rsidP="002900E3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2900E3">
        <w:rPr>
          <w:rFonts w:asciiTheme="minorHAnsi" w:eastAsiaTheme="minorEastAsia" w:hAnsiTheme="minorHAnsi" w:cstheme="minorBidi"/>
          <w:sz w:val="22"/>
          <w:szCs w:val="22"/>
        </w:rPr>
        <w:t>Compiled fall semester 2016</w:t>
      </w:r>
      <w:bookmarkStart w:id="0" w:name="_GoBack"/>
      <w:bookmarkEnd w:id="0"/>
    </w:p>
    <w:sectPr w:rsidR="002900E3" w:rsidRPr="002900E3" w:rsidSect="00722043">
      <w:footerReference w:type="default" r:id="rId7"/>
      <w:pgSz w:w="12240" w:h="15840" w:code="1"/>
      <w:pgMar w:top="1440" w:right="1800" w:bottom="21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9" w:rsidRDefault="00D246F9">
      <w:r>
        <w:separator/>
      </w:r>
    </w:p>
  </w:endnote>
  <w:endnote w:type="continuationSeparator" w:id="0">
    <w:p w:rsidR="00D246F9" w:rsidRDefault="00D2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66" w:rsidRDefault="00316566">
    <w:pPr>
      <w:pStyle w:val="Footer"/>
      <w:rPr>
        <w:sz w:val="20"/>
        <w:u w:val="single"/>
      </w:rPr>
    </w:pPr>
    <w:r>
      <w:rPr>
        <w:sz w:val="20"/>
        <w:u w:val="single"/>
      </w:rPr>
      <w:t>Board of Trustees-Illinois Stat</w:t>
    </w:r>
    <w:r w:rsidR="00455956">
      <w:rPr>
        <w:sz w:val="20"/>
        <w:u w:val="single"/>
      </w:rPr>
      <w:t>e University – Renewal of Student Health Insurance</w:t>
    </w:r>
    <w:r>
      <w:rPr>
        <w:sz w:val="20"/>
        <w:u w:val="single"/>
      </w:rPr>
      <w:tab/>
    </w:r>
  </w:p>
  <w:p w:rsidR="00316566" w:rsidRDefault="00455956">
    <w:pPr>
      <w:pStyle w:val="Footer"/>
      <w:rPr>
        <w:sz w:val="20"/>
      </w:rPr>
    </w:pPr>
    <w:r>
      <w:rPr>
        <w:sz w:val="20"/>
      </w:rPr>
      <w:t>01/13/2017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9" w:rsidRDefault="00D246F9">
      <w:r>
        <w:separator/>
      </w:r>
    </w:p>
  </w:footnote>
  <w:footnote w:type="continuationSeparator" w:id="0">
    <w:p w:rsidR="00D246F9" w:rsidRDefault="00D2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53117"/>
    <w:rsid w:val="00071311"/>
    <w:rsid w:val="00085B5F"/>
    <w:rsid w:val="000C5DF2"/>
    <w:rsid w:val="000D0224"/>
    <w:rsid w:val="000E52BA"/>
    <w:rsid w:val="0010297C"/>
    <w:rsid w:val="00105752"/>
    <w:rsid w:val="001246F0"/>
    <w:rsid w:val="001464A0"/>
    <w:rsid w:val="00147A22"/>
    <w:rsid w:val="001771E9"/>
    <w:rsid w:val="001D064C"/>
    <w:rsid w:val="002274E1"/>
    <w:rsid w:val="00243463"/>
    <w:rsid w:val="00267A89"/>
    <w:rsid w:val="002900E3"/>
    <w:rsid w:val="002B3CE2"/>
    <w:rsid w:val="002D291A"/>
    <w:rsid w:val="002D6A41"/>
    <w:rsid w:val="002F38D4"/>
    <w:rsid w:val="00316566"/>
    <w:rsid w:val="003311DC"/>
    <w:rsid w:val="00380E70"/>
    <w:rsid w:val="003F6D19"/>
    <w:rsid w:val="00416D04"/>
    <w:rsid w:val="00442F02"/>
    <w:rsid w:val="0044766E"/>
    <w:rsid w:val="00455956"/>
    <w:rsid w:val="004A0184"/>
    <w:rsid w:val="004C736B"/>
    <w:rsid w:val="005307D1"/>
    <w:rsid w:val="005937E1"/>
    <w:rsid w:val="005B5860"/>
    <w:rsid w:val="005C73F1"/>
    <w:rsid w:val="005E7F6C"/>
    <w:rsid w:val="00621380"/>
    <w:rsid w:val="0065643B"/>
    <w:rsid w:val="006C40D3"/>
    <w:rsid w:val="006D3C8A"/>
    <w:rsid w:val="006D7134"/>
    <w:rsid w:val="006E54DC"/>
    <w:rsid w:val="0071288A"/>
    <w:rsid w:val="00712CCC"/>
    <w:rsid w:val="007177BD"/>
    <w:rsid w:val="00722043"/>
    <w:rsid w:val="007237C5"/>
    <w:rsid w:val="00763554"/>
    <w:rsid w:val="007E012C"/>
    <w:rsid w:val="00816C91"/>
    <w:rsid w:val="008829E6"/>
    <w:rsid w:val="008C3670"/>
    <w:rsid w:val="00932CD1"/>
    <w:rsid w:val="0098731F"/>
    <w:rsid w:val="009D1537"/>
    <w:rsid w:val="009E634D"/>
    <w:rsid w:val="00A6442D"/>
    <w:rsid w:val="00AF6566"/>
    <w:rsid w:val="00B02A12"/>
    <w:rsid w:val="00B37AE2"/>
    <w:rsid w:val="00B471CE"/>
    <w:rsid w:val="00C97F84"/>
    <w:rsid w:val="00D15ED2"/>
    <w:rsid w:val="00D246F9"/>
    <w:rsid w:val="00D31065"/>
    <w:rsid w:val="00D42CD7"/>
    <w:rsid w:val="00D57FEF"/>
    <w:rsid w:val="00DB0D34"/>
    <w:rsid w:val="00DD7EBC"/>
    <w:rsid w:val="00DE2020"/>
    <w:rsid w:val="00E43387"/>
    <w:rsid w:val="00E92AAE"/>
    <w:rsid w:val="00F372D0"/>
    <w:rsid w:val="00F53117"/>
    <w:rsid w:val="00F82F27"/>
    <w:rsid w:val="00F87A03"/>
    <w:rsid w:val="00FA20AF"/>
    <w:rsid w:val="00FA73B7"/>
    <w:rsid w:val="00FC4817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22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012C"/>
  </w:style>
  <w:style w:type="character" w:styleId="Hyperlink">
    <w:name w:val="Hyperlink"/>
    <w:basedOn w:val="DefaultParagraphFont"/>
    <w:uiPriority w:val="99"/>
    <w:unhideWhenUsed/>
    <w:rsid w:val="00380E70"/>
    <w:rPr>
      <w:color w:val="0000FF"/>
      <w:u w:val="single"/>
    </w:rPr>
  </w:style>
  <w:style w:type="table" w:styleId="TableGrid">
    <w:name w:val="Table Grid"/>
    <w:basedOn w:val="TableNormal"/>
    <w:uiPriority w:val="59"/>
    <w:rsid w:val="002900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Site License</dc:creator>
  <cp:lastModifiedBy>Bentlin, Dave</cp:lastModifiedBy>
  <cp:revision>2</cp:revision>
  <cp:lastPrinted>2017-01-01T22:45:00Z</cp:lastPrinted>
  <dcterms:created xsi:type="dcterms:W3CDTF">2017-01-01T22:46:00Z</dcterms:created>
  <dcterms:modified xsi:type="dcterms:W3CDTF">2017-01-01T22:46:00Z</dcterms:modified>
</cp:coreProperties>
</file>